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6256B" w14:textId="77777777" w:rsidR="004D6BC6"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#110BIS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eastAsia="Arial" w:hAnsi="Arial" w:cs="Arial"/>
          <w:b/>
          <w:color w:val="000000"/>
          <w:sz w:val="24"/>
          <w:szCs w:val="24"/>
        </w:rPr>
        <w:t>R4-240</w:t>
      </w:r>
      <w:r>
        <w:rPr>
          <w:rFonts w:ascii="Arial" w:eastAsia="Arial" w:hAnsi="Arial" w:cs="Arial"/>
          <w:b/>
          <w:sz w:val="24"/>
          <w:szCs w:val="24"/>
        </w:rPr>
        <w:t>4539</w:t>
      </w:r>
    </w:p>
    <w:p w14:paraId="52662DDF" w14:textId="77777777" w:rsidR="004D6BC6" w:rsidRDefault="00000000">
      <w:pPr>
        <w:rPr>
          <w:rFonts w:ascii="Arial" w:eastAsia="Arial" w:hAnsi="Arial" w:cs="Arial"/>
          <w:b/>
          <w:sz w:val="24"/>
          <w:szCs w:val="24"/>
        </w:rPr>
      </w:pPr>
      <w:r>
        <w:rPr>
          <w:rFonts w:ascii="Arial" w:eastAsia="Arial" w:hAnsi="Arial" w:cs="Arial"/>
          <w:b/>
          <w:sz w:val="24"/>
          <w:szCs w:val="24"/>
        </w:rPr>
        <w:t>Changsha, China, 15</w:t>
      </w:r>
      <w:r>
        <w:rPr>
          <w:rFonts w:ascii="Arial" w:eastAsia="Arial" w:hAnsi="Arial" w:cs="Arial"/>
          <w:b/>
          <w:sz w:val="24"/>
          <w:szCs w:val="24"/>
          <w:vertAlign w:val="superscript"/>
        </w:rPr>
        <w:t>th</w:t>
      </w:r>
      <w:r>
        <w:rPr>
          <w:rFonts w:ascii="Arial" w:eastAsia="Arial" w:hAnsi="Arial" w:cs="Arial"/>
          <w:b/>
          <w:sz w:val="24"/>
          <w:szCs w:val="24"/>
        </w:rPr>
        <w:t xml:space="preserve"> – 19</w:t>
      </w:r>
      <w:r>
        <w:rPr>
          <w:rFonts w:ascii="Arial" w:eastAsia="Arial" w:hAnsi="Arial" w:cs="Arial"/>
          <w:b/>
          <w:sz w:val="24"/>
          <w:szCs w:val="24"/>
          <w:vertAlign w:val="superscript"/>
        </w:rPr>
        <w:t>th</w:t>
      </w:r>
      <w:r>
        <w:rPr>
          <w:rFonts w:ascii="Arial" w:eastAsia="Arial" w:hAnsi="Arial" w:cs="Arial"/>
          <w:b/>
          <w:sz w:val="24"/>
          <w:szCs w:val="24"/>
        </w:rPr>
        <w:t xml:space="preserve"> April, 2024</w:t>
      </w:r>
    </w:p>
    <w:p w14:paraId="34FAA019" w14:textId="77777777" w:rsidR="004D6BC6" w:rsidRDefault="004D6BC6">
      <w:pPr>
        <w:pStyle w:val="3"/>
        <w:tabs>
          <w:tab w:val="left" w:pos="360"/>
          <w:tab w:val="left" w:pos="1710"/>
        </w:tabs>
        <w:rPr>
          <w:rFonts w:ascii="Arial" w:eastAsia="Arial" w:hAnsi="Arial" w:cs="Arial"/>
          <w:b/>
          <w:color w:val="000000"/>
          <w:sz w:val="20"/>
          <w:szCs w:val="20"/>
        </w:rPr>
      </w:pPr>
    </w:p>
    <w:p w14:paraId="0DDCC1FE" w14:textId="77777777" w:rsidR="004D6BC6"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t>9.1.4</w:t>
      </w:r>
    </w:p>
    <w:p w14:paraId="690AD7C1" w14:textId="77777777" w:rsidR="004D6BC6"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600406F0" w14:textId="77777777" w:rsidR="004D6BC6" w:rsidRDefault="00000000">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t>Discussion on 6Rx initial consideration points for single carrier</w:t>
      </w:r>
    </w:p>
    <w:p w14:paraId="158B20BF" w14:textId="77777777" w:rsidR="004D6BC6"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15740705" w14:textId="77777777" w:rsidR="004D6BC6" w:rsidRDefault="00000000">
      <w:pPr>
        <w:pStyle w:val="1"/>
        <w:numPr>
          <w:ilvl w:val="0"/>
          <w:numId w:val="1"/>
        </w:numPr>
        <w:spacing w:before="240"/>
        <w:ind w:left="270" w:hanging="270"/>
      </w:pPr>
      <w:bookmarkStart w:id="0" w:name="_heading=h.gjdgxs" w:colFirst="0" w:colLast="0"/>
      <w:bookmarkEnd w:id="0"/>
      <w:r>
        <w:t>Introduction</w:t>
      </w:r>
    </w:p>
    <w:p w14:paraId="1F3E172C" w14:textId="77777777" w:rsidR="004D6BC6" w:rsidRDefault="00000000">
      <w:r>
        <w:t>In RAN #103 meeting, RAN approved new WID on UE RF enhancements for FR1 and FR2 in Rel-19 [1]. In these WID, there are three objectives in RF related issues. One objective is high power CA/DC combinations, 2</w:t>
      </w:r>
      <w:r>
        <w:rPr>
          <w:vertAlign w:val="superscript"/>
        </w:rPr>
        <w:t>nd</w:t>
      </w:r>
      <w:r>
        <w:t xml:space="preserve"> objective is power boosting and MPR reduction issue for single carrier and NR intra-band UL CA and the last one is support of 6Rx for HHUE and FWA devices.</w:t>
      </w:r>
    </w:p>
    <w:p w14:paraId="2C0BA9FC" w14:textId="77777777" w:rsidR="004D6BC6" w:rsidRDefault="00000000">
      <w:r>
        <w:t>In this contribution, we focus on the 6Rx core requirements for both HHUE and FWA devices. The following contents are the WI objectives for UE RF enhancements at FR1 in Rel-19.</w:t>
      </w:r>
    </w:p>
    <w:p w14:paraId="5684E876" w14:textId="77777777" w:rsidR="004D6BC6" w:rsidRDefault="004D6BC6">
      <w:pPr>
        <w:jc w:val="right"/>
      </w:pPr>
    </w:p>
    <w:tbl>
      <w:tblPr>
        <w:tblStyle w:val="afe"/>
        <w:tblW w:w="901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4D6BC6" w14:paraId="2B63C640" w14:textId="77777777" w:rsidTr="009F74CB">
        <w:trPr>
          <w:jc w:val="center"/>
        </w:trPr>
        <w:tc>
          <w:tcPr>
            <w:tcW w:w="9019" w:type="dxa"/>
          </w:tcPr>
          <w:p w14:paraId="43D6CE62" w14:textId="77777777" w:rsidR="004D6BC6" w:rsidRDefault="00000000">
            <w:pPr>
              <w:rPr>
                <w:b/>
              </w:rPr>
            </w:pPr>
            <w:r>
              <w:rPr>
                <w:b/>
              </w:rPr>
              <w:t>6Rx for handheld and FWA UE</w:t>
            </w:r>
          </w:p>
          <w:p w14:paraId="22B86570" w14:textId="77777777" w:rsidR="004D6BC6" w:rsidRDefault="00000000">
            <w:pPr>
              <w:numPr>
                <w:ilvl w:val="0"/>
                <w:numId w:val="3"/>
              </w:numPr>
              <w:pBdr>
                <w:top w:val="nil"/>
                <w:left w:val="nil"/>
                <w:bottom w:val="nil"/>
                <w:right w:val="nil"/>
                <w:between w:val="nil"/>
              </w:pBdr>
              <w:spacing w:after="0"/>
              <w:jc w:val="left"/>
              <w:rPr>
                <w:color w:val="000000"/>
                <w:sz w:val="20"/>
                <w:szCs w:val="20"/>
              </w:rPr>
            </w:pPr>
            <w:r>
              <w:rPr>
                <w:color w:val="000000"/>
                <w:sz w:val="20"/>
                <w:szCs w:val="20"/>
              </w:rPr>
              <w:t>Specify the core requirements to enable 6Rx for higher frequency bands (&gt;2.5GHz) targeting at support of handheld UE for NR FR1 single carrier scenario</w:t>
            </w:r>
          </w:p>
          <w:p w14:paraId="17183961" w14:textId="77777777" w:rsidR="004D6BC6" w:rsidRPr="00A52161" w:rsidRDefault="00000000">
            <w:pPr>
              <w:numPr>
                <w:ilvl w:val="1"/>
                <w:numId w:val="3"/>
              </w:numPr>
              <w:pBdr>
                <w:top w:val="nil"/>
                <w:left w:val="nil"/>
                <w:bottom w:val="nil"/>
                <w:right w:val="nil"/>
                <w:between w:val="nil"/>
              </w:pBdr>
              <w:spacing w:after="0"/>
              <w:jc w:val="left"/>
              <w:rPr>
                <w:color w:val="000000"/>
                <w:sz w:val="20"/>
                <w:szCs w:val="20"/>
                <w:lang w:val="pt-BR"/>
              </w:rPr>
            </w:pPr>
            <w:r w:rsidRPr="00A52161">
              <w:rPr>
                <w:color w:val="000000"/>
                <w:sz w:val="20"/>
                <w:szCs w:val="20"/>
                <w:lang w:val="pt-BR"/>
              </w:rPr>
              <w:t>Example bands: n41, n77/n78, n79, n104</w:t>
            </w:r>
          </w:p>
          <w:p w14:paraId="175E00DA" w14:textId="77777777" w:rsidR="004D6BC6" w:rsidRDefault="00000000">
            <w:pPr>
              <w:numPr>
                <w:ilvl w:val="1"/>
                <w:numId w:val="3"/>
              </w:numPr>
              <w:pBdr>
                <w:top w:val="nil"/>
                <w:left w:val="nil"/>
                <w:bottom w:val="nil"/>
                <w:right w:val="nil"/>
                <w:between w:val="nil"/>
              </w:pBdr>
              <w:spacing w:after="0"/>
              <w:jc w:val="left"/>
              <w:rPr>
                <w:color w:val="000000"/>
                <w:sz w:val="20"/>
                <w:szCs w:val="20"/>
              </w:rPr>
            </w:pPr>
            <w:r>
              <w:rPr>
                <w:color w:val="000000"/>
                <w:sz w:val="20"/>
                <w:szCs w:val="20"/>
              </w:rPr>
              <w:t>Support 4 MIMO layers at least, and study the gain and feasibility and if feasible, support 6 MIMO layers</w:t>
            </w:r>
          </w:p>
          <w:p w14:paraId="0C537108" w14:textId="77777777" w:rsidR="004D6BC6" w:rsidRDefault="00000000">
            <w:pPr>
              <w:numPr>
                <w:ilvl w:val="1"/>
                <w:numId w:val="3"/>
              </w:numPr>
              <w:pBdr>
                <w:top w:val="nil"/>
                <w:left w:val="nil"/>
                <w:bottom w:val="nil"/>
                <w:right w:val="nil"/>
                <w:between w:val="nil"/>
              </w:pBdr>
              <w:spacing w:after="0"/>
              <w:jc w:val="left"/>
              <w:rPr>
                <w:color w:val="000000"/>
                <w:sz w:val="20"/>
                <w:szCs w:val="20"/>
              </w:rPr>
            </w:pPr>
            <w:r>
              <w:rPr>
                <w:color w:val="000000"/>
                <w:sz w:val="20"/>
                <w:szCs w:val="20"/>
              </w:rPr>
              <w:t>Specify the Rx requirements including reference sensitivity requirements for support 6Rx</w:t>
            </w:r>
          </w:p>
          <w:p w14:paraId="7823FE78" w14:textId="77777777" w:rsidR="004D6BC6" w:rsidRDefault="00000000">
            <w:pPr>
              <w:numPr>
                <w:ilvl w:val="2"/>
                <w:numId w:val="3"/>
              </w:numPr>
              <w:pBdr>
                <w:top w:val="nil"/>
                <w:left w:val="nil"/>
                <w:bottom w:val="nil"/>
                <w:right w:val="nil"/>
                <w:between w:val="nil"/>
              </w:pBdr>
              <w:spacing w:after="0"/>
              <w:ind w:left="1260" w:hanging="420"/>
              <w:jc w:val="left"/>
              <w:rPr>
                <w:color w:val="000000"/>
                <w:sz w:val="20"/>
                <w:szCs w:val="20"/>
              </w:rPr>
            </w:pPr>
            <w:r>
              <w:rPr>
                <w:color w:val="000000"/>
                <w:sz w:val="20"/>
                <w:szCs w:val="20"/>
              </w:rPr>
              <w:t>Note: the specified requirements can be applicable to both handheld UE and FWA devices</w:t>
            </w:r>
          </w:p>
          <w:p w14:paraId="17E63523" w14:textId="77777777" w:rsidR="004D6BC6" w:rsidRDefault="00000000">
            <w:pPr>
              <w:numPr>
                <w:ilvl w:val="1"/>
                <w:numId w:val="3"/>
              </w:numPr>
              <w:pBdr>
                <w:top w:val="nil"/>
                <w:left w:val="nil"/>
                <w:bottom w:val="nil"/>
                <w:right w:val="nil"/>
                <w:between w:val="nil"/>
              </w:pBdr>
              <w:spacing w:after="0"/>
              <w:jc w:val="left"/>
              <w:rPr>
                <w:color w:val="000000"/>
                <w:sz w:val="20"/>
                <w:szCs w:val="20"/>
              </w:rPr>
            </w:pPr>
            <w:r>
              <w:rPr>
                <w:color w:val="000000"/>
                <w:sz w:val="20"/>
                <w:szCs w:val="20"/>
              </w:rPr>
              <w:t>Specify the requirements to support SRS antenna switching including t1r6, t2r6, t3r6, t4r6 depending on UE capability</w:t>
            </w:r>
          </w:p>
          <w:p w14:paraId="759136C9" w14:textId="77777777" w:rsidR="004D6BC6" w:rsidRDefault="00000000">
            <w:pPr>
              <w:numPr>
                <w:ilvl w:val="1"/>
                <w:numId w:val="3"/>
              </w:numPr>
              <w:pBdr>
                <w:top w:val="nil"/>
                <w:left w:val="nil"/>
                <w:bottom w:val="nil"/>
                <w:right w:val="nil"/>
                <w:between w:val="nil"/>
              </w:pBdr>
              <w:spacing w:after="120"/>
              <w:jc w:val="left"/>
              <w:rPr>
                <w:color w:val="000000"/>
                <w:sz w:val="20"/>
                <w:szCs w:val="20"/>
              </w:rPr>
            </w:pPr>
            <w:r>
              <w:rPr>
                <w:color w:val="000000"/>
                <w:sz w:val="20"/>
                <w:szCs w:val="20"/>
              </w:rPr>
              <w:t>Study the issue of insertion loss imbalance across SRS ports, and if justified, specify the corresponding solution.</w:t>
            </w:r>
          </w:p>
          <w:p w14:paraId="5EEFAA43" w14:textId="77777777" w:rsidR="004D6BC6" w:rsidRDefault="004D6BC6">
            <w:pPr>
              <w:widowControl/>
              <w:spacing w:after="0"/>
            </w:pPr>
          </w:p>
        </w:tc>
      </w:tr>
    </w:tbl>
    <w:p w14:paraId="2DB94D08" w14:textId="77777777" w:rsidR="004D6BC6" w:rsidRDefault="00000000">
      <w:r>
        <w:t xml:space="preserve"> </w:t>
      </w:r>
    </w:p>
    <w:p w14:paraId="38CD0632" w14:textId="77777777" w:rsidR="004D6BC6" w:rsidRDefault="00000000">
      <w:r>
        <w:t>In this paper, we provide our preference and how to specify the 6Rx core requirements including REFSENS and SRS related topic i.e. SRS IL values and SRS switching perspectives according to UE capability.</w:t>
      </w:r>
    </w:p>
    <w:p w14:paraId="2C738149" w14:textId="77777777" w:rsidR="004D6BC6" w:rsidRDefault="00000000">
      <w:pPr>
        <w:pStyle w:val="1"/>
        <w:numPr>
          <w:ilvl w:val="0"/>
          <w:numId w:val="4"/>
        </w:numPr>
        <w:spacing w:before="240"/>
        <w:ind w:left="270" w:hanging="270"/>
      </w:pPr>
      <w:r>
        <w:t>Initial discussion points for 6Rx in single carrier</w:t>
      </w:r>
    </w:p>
    <w:p w14:paraId="66338E2E" w14:textId="77777777" w:rsidR="004D6BC6" w:rsidRDefault="00000000">
      <w:pPr>
        <w:pStyle w:val="3"/>
        <w:numPr>
          <w:ilvl w:val="1"/>
          <w:numId w:val="4"/>
        </w:numPr>
        <w:ind w:left="845" w:hanging="851"/>
        <w:rPr>
          <w:b/>
        </w:rPr>
      </w:pPr>
      <w:r>
        <w:rPr>
          <w:b/>
        </w:rPr>
        <w:t>Reference sensitivity tighten level with ΔRIB for TDD example bands</w:t>
      </w:r>
    </w:p>
    <w:p w14:paraId="62E2718C" w14:textId="77777777" w:rsidR="004D6BC6" w:rsidRDefault="00000000">
      <w:pPr>
        <w:spacing w:after="40"/>
      </w:pPr>
      <w:r>
        <w:t>In this session, RAN4 needs to define ΔR</w:t>
      </w:r>
      <w:r>
        <w:rPr>
          <w:vertAlign w:val="subscript"/>
        </w:rPr>
        <w:t>IB,6R</w:t>
      </w:r>
      <w:r>
        <w:t xml:space="preserve"> to allow the tightening REFSENS requirements from the 2Rx REFSENS requirements in Table 7.3.2-1a and Table 7.3.2-1b.</w:t>
      </w:r>
    </w:p>
    <w:p w14:paraId="242AE4D9" w14:textId="77777777" w:rsidR="004D6BC6" w:rsidRDefault="004D6BC6">
      <w:pPr>
        <w:rPr>
          <w:b/>
        </w:rPr>
      </w:pPr>
    </w:p>
    <w:tbl>
      <w:tblPr>
        <w:tblStyle w:val="aff"/>
        <w:tblW w:w="901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4D6BC6" w14:paraId="45446D31" w14:textId="77777777" w:rsidTr="009F74CB">
        <w:trPr>
          <w:jc w:val="center"/>
        </w:trPr>
        <w:tc>
          <w:tcPr>
            <w:tcW w:w="9019" w:type="dxa"/>
          </w:tcPr>
          <w:p w14:paraId="1C9A1C45" w14:textId="77777777" w:rsidR="004D6BC6" w:rsidRDefault="00000000">
            <w:r>
              <w:t>Captured in TS38.101-1 [2]</w:t>
            </w:r>
          </w:p>
          <w:p w14:paraId="5F3B48D3" w14:textId="77777777" w:rsidR="004D6BC6" w:rsidRDefault="00000000">
            <w:r>
              <w:t>For UE(s) equipped with 8 Rx antenna ports, reference sensitivity for 2Rx antenna ports in Table 7.3.2-1a and in Table 7.3.2-1b shall be modified by the amount given in ΔR</w:t>
            </w:r>
            <w:r>
              <w:rPr>
                <w:vertAlign w:val="subscript"/>
              </w:rPr>
              <w:t>IB,8R</w:t>
            </w:r>
            <w:r>
              <w:t xml:space="preserve"> in Table 7.3.2-2a for the applicable operating bands.</w:t>
            </w:r>
          </w:p>
          <w:p w14:paraId="0065A49E" w14:textId="77777777" w:rsidR="004D6BC6" w:rsidRDefault="00000000">
            <w:pPr>
              <w:keepNext/>
              <w:keepLines/>
              <w:widowControl/>
              <w:pBdr>
                <w:top w:val="nil"/>
                <w:left w:val="nil"/>
                <w:bottom w:val="nil"/>
                <w:right w:val="nil"/>
                <w:between w:val="nil"/>
              </w:pBdr>
              <w:spacing w:before="60"/>
              <w:jc w:val="center"/>
              <w:rPr>
                <w:b/>
                <w:color w:val="000000"/>
                <w:sz w:val="20"/>
                <w:szCs w:val="20"/>
                <w:vertAlign w:val="subscript"/>
              </w:rPr>
            </w:pPr>
            <w:r>
              <w:rPr>
                <w:b/>
                <w:color w:val="000000"/>
                <w:sz w:val="20"/>
                <w:szCs w:val="20"/>
              </w:rPr>
              <w:lastRenderedPageBreak/>
              <w:t>Table 7.3.2-2a: Eight antenna port reference sensitivity allowance ΔR</w:t>
            </w:r>
            <w:r>
              <w:rPr>
                <w:b/>
                <w:color w:val="000000"/>
                <w:sz w:val="20"/>
                <w:szCs w:val="20"/>
                <w:vertAlign w:val="subscript"/>
              </w:rPr>
              <w:t>IB,8R</w:t>
            </w:r>
          </w:p>
          <w:tbl>
            <w:tblPr>
              <w:tblStyle w:val="aff0"/>
              <w:tblW w:w="5859" w:type="dxa"/>
              <w:tblInd w:w="1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9"/>
              <w:gridCol w:w="2970"/>
            </w:tblGrid>
            <w:tr w:rsidR="004D6BC6" w14:paraId="22CB179A" w14:textId="77777777">
              <w:tc>
                <w:tcPr>
                  <w:tcW w:w="2889" w:type="dxa"/>
                </w:tcPr>
                <w:p w14:paraId="5668EC55" w14:textId="77777777" w:rsidR="004D6BC6"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Operating band</w:t>
                  </w:r>
                </w:p>
              </w:tc>
              <w:tc>
                <w:tcPr>
                  <w:tcW w:w="2970" w:type="dxa"/>
                </w:tcPr>
                <w:p w14:paraId="123F55CB" w14:textId="77777777" w:rsidR="004D6BC6"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ΔR</w:t>
                  </w:r>
                  <w:r>
                    <w:rPr>
                      <w:b/>
                      <w:color w:val="000000"/>
                      <w:sz w:val="18"/>
                      <w:szCs w:val="18"/>
                      <w:vertAlign w:val="subscript"/>
                    </w:rPr>
                    <w:t xml:space="preserve">IB,8R </w:t>
                  </w:r>
                  <w:r>
                    <w:rPr>
                      <w:b/>
                      <w:color w:val="000000"/>
                      <w:sz w:val="18"/>
                      <w:szCs w:val="18"/>
                    </w:rPr>
                    <w:t>(dB)</w:t>
                  </w:r>
                </w:p>
              </w:tc>
            </w:tr>
            <w:tr w:rsidR="004D6BC6" w14:paraId="7C4D83F9" w14:textId="77777777">
              <w:tc>
                <w:tcPr>
                  <w:tcW w:w="2889" w:type="dxa"/>
                  <w:vAlign w:val="center"/>
                </w:tcPr>
                <w:p w14:paraId="64553407" w14:textId="77777777" w:rsidR="004D6BC6"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n7</w:t>
                  </w:r>
                </w:p>
              </w:tc>
              <w:tc>
                <w:tcPr>
                  <w:tcW w:w="2970" w:type="dxa"/>
                  <w:vAlign w:val="center"/>
                </w:tcPr>
                <w:p w14:paraId="33B9DC84" w14:textId="77777777" w:rsidR="004D6BC6"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-4.5</w:t>
                  </w:r>
                </w:p>
              </w:tc>
            </w:tr>
            <w:tr w:rsidR="004D6BC6" w14:paraId="0CBE6DE0" w14:textId="77777777">
              <w:tc>
                <w:tcPr>
                  <w:tcW w:w="2889" w:type="dxa"/>
                  <w:vAlign w:val="center"/>
                </w:tcPr>
                <w:p w14:paraId="44CCE75C" w14:textId="77777777" w:rsidR="004D6BC6"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n41</w:t>
                  </w:r>
                </w:p>
              </w:tc>
              <w:tc>
                <w:tcPr>
                  <w:tcW w:w="2970" w:type="dxa"/>
                  <w:vAlign w:val="center"/>
                </w:tcPr>
                <w:p w14:paraId="03D490AA" w14:textId="77777777" w:rsidR="004D6BC6"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-4.3</w:t>
                  </w:r>
                </w:p>
              </w:tc>
            </w:tr>
            <w:tr w:rsidR="004D6BC6" w14:paraId="4C145435" w14:textId="77777777">
              <w:tc>
                <w:tcPr>
                  <w:tcW w:w="2889" w:type="dxa"/>
                  <w:vAlign w:val="center"/>
                </w:tcPr>
                <w:p w14:paraId="0089F2FC" w14:textId="77777777" w:rsidR="004D6BC6"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n77, n78, n79</w:t>
                  </w:r>
                </w:p>
              </w:tc>
              <w:tc>
                <w:tcPr>
                  <w:tcW w:w="2970" w:type="dxa"/>
                  <w:vAlign w:val="center"/>
                </w:tcPr>
                <w:p w14:paraId="473B6166" w14:textId="77777777" w:rsidR="004D6BC6"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-4.0</w:t>
                  </w:r>
                </w:p>
              </w:tc>
            </w:tr>
            <w:tr w:rsidR="004D6BC6" w14:paraId="704A2DF1" w14:textId="77777777">
              <w:tc>
                <w:tcPr>
                  <w:tcW w:w="5859" w:type="dxa"/>
                  <w:gridSpan w:val="2"/>
                  <w:vAlign w:val="center"/>
                </w:tcPr>
                <w:p w14:paraId="42EF4581" w14:textId="77777777" w:rsidR="004D6BC6" w:rsidRDefault="00000000">
                  <w:pPr>
                    <w:keepNext/>
                    <w:keepLines/>
                    <w:widowControl/>
                    <w:pBdr>
                      <w:top w:val="nil"/>
                      <w:left w:val="nil"/>
                      <w:bottom w:val="nil"/>
                      <w:right w:val="nil"/>
                      <w:between w:val="nil"/>
                    </w:pBdr>
                    <w:spacing w:after="0"/>
                    <w:ind w:left="851" w:hanging="851"/>
                    <w:jc w:val="left"/>
                    <w:rPr>
                      <w:color w:val="000000"/>
                      <w:sz w:val="18"/>
                      <w:szCs w:val="18"/>
                    </w:rPr>
                  </w:pPr>
                  <w:r>
                    <w:rPr>
                      <w:color w:val="000000"/>
                      <w:sz w:val="18"/>
                      <w:szCs w:val="18"/>
                    </w:rPr>
                    <w:t>NOTE 1:</w:t>
                  </w:r>
                  <w:r>
                    <w:rPr>
                      <w:color w:val="000000"/>
                      <w:sz w:val="18"/>
                      <w:szCs w:val="18"/>
                    </w:rPr>
                    <w:tab/>
                    <w:t xml:space="preserve">8 Rx operation </w:t>
                  </w:r>
                  <w:r>
                    <w:rPr>
                      <w:b/>
                      <w:color w:val="000000"/>
                      <w:sz w:val="18"/>
                      <w:szCs w:val="18"/>
                      <w:highlight w:val="yellow"/>
                    </w:rPr>
                    <w:t>is targeted for FWA/CPE/Vehicle/Industrial devices form factor.</w:t>
                  </w:r>
                </w:p>
              </w:tc>
            </w:tr>
          </w:tbl>
          <w:p w14:paraId="68D16CB6" w14:textId="77777777" w:rsidR="004D6BC6" w:rsidRDefault="004D6BC6">
            <w:pPr>
              <w:keepLines/>
              <w:widowControl/>
              <w:pBdr>
                <w:top w:val="nil"/>
                <w:left w:val="nil"/>
                <w:bottom w:val="nil"/>
                <w:right w:val="nil"/>
                <w:between w:val="nil"/>
              </w:pBdr>
              <w:spacing w:after="240"/>
              <w:rPr>
                <w:b/>
                <w:color w:val="000000"/>
                <w:sz w:val="20"/>
                <w:szCs w:val="20"/>
              </w:rPr>
            </w:pPr>
          </w:p>
        </w:tc>
      </w:tr>
    </w:tbl>
    <w:p w14:paraId="6D1DB9EE" w14:textId="77777777" w:rsidR="004D6BC6" w:rsidRDefault="004D6BC6">
      <w:pPr>
        <w:rPr>
          <w:b/>
        </w:rPr>
      </w:pPr>
    </w:p>
    <w:p w14:paraId="2872C417" w14:textId="77777777" w:rsidR="004D6BC6" w:rsidRDefault="00000000">
      <w:pPr>
        <w:widowControl/>
        <w:spacing w:after="180"/>
        <w:ind w:right="150"/>
      </w:pPr>
      <w:r>
        <w:t>RAN4 can consider the existing REFSENS equation to decide REFSENS levels for 6Rx devices. But the diversity gain of 6Rx is quite challenging to make consensus in the RAN4 group. Also the 8Rx tightened level is only applied to CPE/FWA as a large scale form factor. So some relaxation can be considered from the 8Rx delta values. Based on the above delta values from 8Rx UE and 4Rx UE, we propose as follow</w:t>
      </w:r>
    </w:p>
    <w:p w14:paraId="55D97E18" w14:textId="77777777" w:rsidR="004D6BC6" w:rsidRDefault="004D6BC6">
      <w:pPr>
        <w:widowControl/>
        <w:spacing w:after="180"/>
        <w:ind w:right="150"/>
        <w:jc w:val="left"/>
      </w:pPr>
    </w:p>
    <w:p w14:paraId="13C75376" w14:textId="55E55F95" w:rsidR="004D6BC6" w:rsidRDefault="00000000">
      <w:pPr>
        <w:widowControl/>
        <w:spacing w:after="180"/>
        <w:ind w:right="150"/>
        <w:jc w:val="left"/>
        <w:rPr>
          <w:b/>
        </w:rPr>
      </w:pPr>
      <w:r>
        <w:rPr>
          <w:b/>
        </w:rPr>
        <w:t xml:space="preserve">Proposal 1: </w:t>
      </w:r>
      <w:r>
        <w:rPr>
          <w:b/>
          <w:i/>
        </w:rPr>
        <w:t>Based on the 2Rx REFSENS requirements, the 6Rx REFSENS levels w</w:t>
      </w:r>
      <w:r w:rsidR="009F74CB">
        <w:rPr>
          <w:b/>
          <w:i/>
        </w:rPr>
        <w:t>ould</w:t>
      </w:r>
      <w:r>
        <w:rPr>
          <w:b/>
          <w:i/>
        </w:rPr>
        <w:t>l be specified with ΔR</w:t>
      </w:r>
      <w:r>
        <w:rPr>
          <w:b/>
          <w:i/>
          <w:vertAlign w:val="subscript"/>
        </w:rPr>
        <w:t xml:space="preserve">IB,6R </w:t>
      </w:r>
      <w:r>
        <w:rPr>
          <w:b/>
          <w:i/>
        </w:rPr>
        <w:t xml:space="preserve"> as follow</w:t>
      </w:r>
    </w:p>
    <w:p w14:paraId="60D98931" w14:textId="77777777" w:rsidR="004D6BC6" w:rsidRPr="00A52161" w:rsidRDefault="00000000">
      <w:pPr>
        <w:widowControl/>
        <w:numPr>
          <w:ilvl w:val="3"/>
          <w:numId w:val="3"/>
        </w:numPr>
        <w:pBdr>
          <w:top w:val="nil"/>
          <w:left w:val="nil"/>
          <w:bottom w:val="nil"/>
          <w:right w:val="nil"/>
          <w:between w:val="nil"/>
        </w:pBdr>
        <w:spacing w:after="180"/>
        <w:ind w:right="150"/>
        <w:jc w:val="left"/>
        <w:rPr>
          <w:color w:val="000000"/>
          <w:lang w:val="pt-BR"/>
        </w:rPr>
      </w:pPr>
      <w:r>
        <w:rPr>
          <w:color w:val="000000"/>
        </w:rPr>
        <w:t>Δ</w:t>
      </w:r>
      <w:r w:rsidRPr="00A52161">
        <w:rPr>
          <w:color w:val="000000"/>
          <w:lang w:val="pt-BR"/>
        </w:rPr>
        <w:t>R</w:t>
      </w:r>
      <w:r w:rsidRPr="00A52161">
        <w:rPr>
          <w:color w:val="000000"/>
          <w:vertAlign w:val="subscript"/>
          <w:lang w:val="pt-BR"/>
        </w:rPr>
        <w:t xml:space="preserve">IB,6R </w:t>
      </w:r>
      <w:r w:rsidRPr="00A52161">
        <w:rPr>
          <w:color w:val="000000"/>
          <w:lang w:val="pt-BR"/>
        </w:rPr>
        <w:t>is [- 3.0] dB for</w:t>
      </w:r>
      <w:r w:rsidRPr="00A52161">
        <w:rPr>
          <w:b/>
          <w:color w:val="000000"/>
          <w:lang w:val="pt-BR"/>
        </w:rPr>
        <w:t xml:space="preserve"> </w:t>
      </w:r>
      <w:r w:rsidRPr="00A52161">
        <w:rPr>
          <w:color w:val="000000"/>
          <w:lang w:val="pt-BR"/>
        </w:rPr>
        <w:t>n77, n78, n79 and n104</w:t>
      </w:r>
    </w:p>
    <w:p w14:paraId="147106E7" w14:textId="77777777" w:rsidR="004D6BC6" w:rsidRPr="00A52161" w:rsidRDefault="00000000">
      <w:pPr>
        <w:widowControl/>
        <w:numPr>
          <w:ilvl w:val="3"/>
          <w:numId w:val="3"/>
        </w:numPr>
        <w:pBdr>
          <w:top w:val="nil"/>
          <w:left w:val="nil"/>
          <w:bottom w:val="nil"/>
          <w:right w:val="nil"/>
          <w:between w:val="nil"/>
        </w:pBdr>
        <w:spacing w:after="180"/>
        <w:ind w:right="150"/>
        <w:jc w:val="left"/>
        <w:rPr>
          <w:color w:val="000000"/>
          <w:lang w:val="pt-BR"/>
        </w:rPr>
      </w:pPr>
      <w:r>
        <w:rPr>
          <w:color w:val="000000"/>
        </w:rPr>
        <w:t>Δ</w:t>
      </w:r>
      <w:r w:rsidRPr="00A52161">
        <w:rPr>
          <w:color w:val="000000"/>
          <w:lang w:val="pt-BR"/>
        </w:rPr>
        <w:t>R</w:t>
      </w:r>
      <w:r w:rsidRPr="00A52161">
        <w:rPr>
          <w:color w:val="000000"/>
          <w:vertAlign w:val="subscript"/>
          <w:lang w:val="pt-BR"/>
        </w:rPr>
        <w:t xml:space="preserve">IB,6R </w:t>
      </w:r>
      <w:r w:rsidRPr="00A52161">
        <w:rPr>
          <w:color w:val="000000"/>
          <w:lang w:val="pt-BR"/>
        </w:rPr>
        <w:t>is [- 3.3] dB for n41</w:t>
      </w:r>
    </w:p>
    <w:p w14:paraId="4F228730" w14:textId="7328109E" w:rsidR="004D6BC6" w:rsidRPr="009F74CB" w:rsidRDefault="009F74CB" w:rsidP="009F74CB">
      <w:pPr>
        <w:widowControl/>
        <w:spacing w:after="180"/>
        <w:ind w:right="150"/>
        <w:jc w:val="left"/>
        <w:rPr>
          <w:b/>
        </w:rPr>
      </w:pPr>
      <w:r w:rsidRPr="009F74CB">
        <w:rPr>
          <w:b/>
        </w:rPr>
        <w:t>Proposal 2: If RAN4 agree to specify the REFSENS based on REFSEN equation, then we are also fine to make consensus with the diversity gain of 6Rx and other parameters such as IM level</w:t>
      </w:r>
      <w:r>
        <w:rPr>
          <w:b/>
        </w:rPr>
        <w:t>.</w:t>
      </w:r>
    </w:p>
    <w:p w14:paraId="7AA909E9" w14:textId="77777777" w:rsidR="004D6BC6" w:rsidRDefault="00000000">
      <w:pPr>
        <w:pStyle w:val="3"/>
        <w:numPr>
          <w:ilvl w:val="1"/>
          <w:numId w:val="4"/>
        </w:numPr>
        <w:ind w:left="845" w:hanging="851"/>
        <w:rPr>
          <w:b/>
        </w:rPr>
      </w:pPr>
      <w:r>
        <w:rPr>
          <w:b/>
        </w:rPr>
        <w:t>ΔTRxSRS for TDD example bands</w:t>
      </w:r>
    </w:p>
    <w:p w14:paraId="41EE28CE" w14:textId="77777777" w:rsidR="004D6BC6" w:rsidRDefault="00000000">
      <w:r>
        <w:t xml:space="preserve">In session 2.2, we are shown the current specification of ΔTRxSRS for 8Rx UE according to the SRS antenna configuration. </w:t>
      </w:r>
    </w:p>
    <w:tbl>
      <w:tblPr>
        <w:tblStyle w:val="7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9F74CB" w14:paraId="4C97063F" w14:textId="77777777" w:rsidTr="00A13E1A">
        <w:tc>
          <w:tcPr>
            <w:tcW w:w="9019" w:type="dxa"/>
          </w:tcPr>
          <w:p w14:paraId="010C28FC" w14:textId="77777777" w:rsidR="009F74CB" w:rsidRDefault="009F74CB" w:rsidP="00A13E1A">
            <w:pPr>
              <w:rPr>
                <w:lang w:eastAsia="zh-CN"/>
              </w:rPr>
            </w:pPr>
            <w:r>
              <w:rPr>
                <w:lang w:eastAsia="zh-CN"/>
              </w:rPr>
              <w:t>Captured in TS38.101-1 [2]</w:t>
            </w:r>
          </w:p>
          <w:p w14:paraId="4A8CF43C" w14:textId="77777777" w:rsidR="009F74CB" w:rsidRPr="00A13E1A" w:rsidRDefault="009F74CB" w:rsidP="00A13E1A">
            <w:pPr>
              <w:pStyle w:val="B1"/>
              <w:rPr>
                <w:lang w:val="en-US"/>
              </w:rPr>
            </w:pPr>
            <w:r w:rsidRPr="00A13E1A">
              <w:rPr>
                <w:lang w:val="en-US"/>
              </w:rPr>
              <w:t xml:space="preserve">The following </w:t>
            </w:r>
            <w:r w:rsidRPr="00891E25">
              <w:t>∆T</w:t>
            </w:r>
            <w:r w:rsidRPr="00891E25">
              <w:rPr>
                <w:vertAlign w:val="subscript"/>
              </w:rPr>
              <w:t>RxSRS</w:t>
            </w:r>
            <w:r w:rsidRPr="00A13E1A">
              <w:rPr>
                <w:lang w:val="en-US"/>
              </w:rPr>
              <w:t xml:space="preserve"> applies according to the indicated </w:t>
            </w:r>
            <w:r w:rsidRPr="00A13E1A">
              <w:rPr>
                <w:i/>
                <w:lang w:val="en-US"/>
              </w:rPr>
              <w:t xml:space="preserve">SRS-TxSwitch </w:t>
            </w:r>
            <w:r w:rsidRPr="00A13E1A">
              <w:rPr>
                <w:iCs/>
                <w:lang w:val="en-US"/>
              </w:rPr>
              <w:t>or</w:t>
            </w:r>
            <w:r w:rsidRPr="00A13E1A">
              <w:rPr>
                <w:i/>
                <w:lang w:val="en-US"/>
              </w:rPr>
              <w:t xml:space="preserve"> </w:t>
            </w:r>
            <w:r w:rsidRPr="00A13E1A">
              <w:rPr>
                <w:i/>
                <w:iCs/>
              </w:rPr>
              <w:t>srs-AntennaSwitchingBeyond4RX-r17</w:t>
            </w:r>
            <w:r w:rsidRPr="00A13E1A">
              <w:rPr>
                <w:lang w:val="en-US"/>
              </w:rPr>
              <w:t xml:space="preserve"> capabilities</w:t>
            </w:r>
            <w:r w:rsidRPr="00891E25">
              <w:rPr>
                <w:lang w:val="en-US"/>
              </w:rPr>
              <w:t>:</w:t>
            </w:r>
          </w:p>
          <w:p w14:paraId="1C826D7A" w14:textId="77777777" w:rsidR="009F74CB" w:rsidRPr="001758D7" w:rsidRDefault="009F74CB" w:rsidP="00A13E1A">
            <w:pPr>
              <w:pStyle w:val="B1"/>
              <w:rPr>
                <w:lang w:val="en-US"/>
              </w:rPr>
            </w:pPr>
            <w:r w:rsidRPr="00891E25">
              <w:t xml:space="preserve">if </w:t>
            </w:r>
            <w:r w:rsidRPr="00891E25">
              <w:rPr>
                <w:lang w:val="en-US"/>
              </w:rPr>
              <w:t xml:space="preserve"> 't1r8' and 't4r8'</w:t>
            </w:r>
            <w:r w:rsidRPr="00891E25">
              <w:t xml:space="preserve"> are indicated</w:t>
            </w:r>
            <w:r w:rsidRPr="00891E25">
              <w:rPr>
                <w:lang w:val="en-US"/>
              </w:rPr>
              <w:t>:</w:t>
            </w:r>
          </w:p>
          <w:p w14:paraId="52AEB1CB" w14:textId="77777777" w:rsidR="009F74CB" w:rsidRPr="00E91BB3" w:rsidRDefault="009F74CB" w:rsidP="00A13E1A">
            <w:pPr>
              <w:pStyle w:val="B2"/>
            </w:pPr>
            <w:r w:rsidRPr="00E91BB3">
              <w:t>-</w:t>
            </w:r>
            <w:r w:rsidRPr="00E91BB3">
              <w:tab/>
              <w:t>The value of ∆T</w:t>
            </w:r>
            <w:r w:rsidRPr="00E91BB3">
              <w:rPr>
                <w:vertAlign w:val="subscript"/>
              </w:rPr>
              <w:t>RxSRS</w:t>
            </w:r>
            <w:r w:rsidRPr="00E91BB3">
              <w:t xml:space="preserve"> is 7.3 dB for bands whose F</w:t>
            </w:r>
            <w:r w:rsidRPr="00E91BB3">
              <w:rPr>
                <w:vertAlign w:val="subscript"/>
              </w:rPr>
              <w:t xml:space="preserve">UL_high </w:t>
            </w:r>
            <w:r w:rsidRPr="00E91BB3">
              <w:t>is higher than the F</w:t>
            </w:r>
            <w:r w:rsidRPr="00E91BB3">
              <w:rPr>
                <w:vertAlign w:val="subscript"/>
              </w:rPr>
              <w:t xml:space="preserve">UL_low </w:t>
            </w:r>
            <w:r w:rsidRPr="00E91BB3">
              <w:t>of n79 and 5.8 dB for bands whose F</w:t>
            </w:r>
            <w:r w:rsidRPr="00E91BB3">
              <w:rPr>
                <w:vertAlign w:val="subscript"/>
              </w:rPr>
              <w:t>UL_high</w:t>
            </w:r>
            <w:r w:rsidRPr="00E91BB3" w:rsidDel="00411D7A">
              <w:t xml:space="preserve"> </w:t>
            </w:r>
            <w:r w:rsidRPr="00E91BB3">
              <w:t>is lower than the F</w:t>
            </w:r>
            <w:r w:rsidRPr="00E91BB3">
              <w:rPr>
                <w:vertAlign w:val="subscript"/>
              </w:rPr>
              <w:t>UL_low</w:t>
            </w:r>
            <w:r w:rsidRPr="00E91BB3" w:rsidDel="00411D7A">
              <w:rPr>
                <w:vertAlign w:val="subscript"/>
              </w:rPr>
              <w:t xml:space="preserve"> </w:t>
            </w:r>
            <w:r w:rsidRPr="00E91BB3">
              <w:t>of n79 when the device is capable of power class 3 or power class 5 or power class 1.5 in the band, or when the device is capable of power class 2 in the band and ΔP</w:t>
            </w:r>
            <w:r w:rsidRPr="00E91BB3">
              <w:rPr>
                <w:vertAlign w:val="subscript"/>
              </w:rPr>
              <w:t>PowerClass</w:t>
            </w:r>
            <w:r w:rsidRPr="00E91BB3">
              <w:t xml:space="preserve"> = 3 dB, or </w:t>
            </w:r>
            <w:r w:rsidRPr="00E91BB3">
              <w:rPr>
                <w:lang w:eastAsia="zh-CN"/>
              </w:rPr>
              <w:t xml:space="preserve">when </w:t>
            </w:r>
            <w:r w:rsidRPr="00E91BB3">
              <w:t xml:space="preserve">UE indicating </w:t>
            </w:r>
            <w:r w:rsidRPr="00E91BB3">
              <w:rPr>
                <w:i/>
                <w:iCs/>
              </w:rPr>
              <w:t>txDiversity-r16</w:t>
            </w:r>
            <w:r w:rsidRPr="00E91BB3">
              <w:t xml:space="preserve">. </w:t>
            </w:r>
          </w:p>
          <w:p w14:paraId="12E795BC" w14:textId="77777777" w:rsidR="009F74CB" w:rsidRPr="00A1115A" w:rsidRDefault="009F74CB" w:rsidP="00A13E1A">
            <w:pPr>
              <w:pStyle w:val="B2"/>
            </w:pPr>
            <w:r w:rsidRPr="00E91BB3">
              <w:t>-</w:t>
            </w:r>
            <w:r w:rsidRPr="00E91BB3">
              <w:tab/>
              <w:t>The value of ∆T</w:t>
            </w:r>
            <w:r w:rsidRPr="00E91BB3">
              <w:rPr>
                <w:vertAlign w:val="subscript"/>
              </w:rPr>
              <w:t>RxSRS</w:t>
            </w:r>
            <w:r w:rsidRPr="00E91BB3">
              <w:t xml:space="preserve"> is 10.3 dB for bands whose F</w:t>
            </w:r>
            <w:r w:rsidRPr="00E91BB3">
              <w:rPr>
                <w:vertAlign w:val="subscript"/>
              </w:rPr>
              <w:t xml:space="preserve">UL_high </w:t>
            </w:r>
            <w:r w:rsidRPr="00E91BB3">
              <w:t>is higher than the F</w:t>
            </w:r>
            <w:r w:rsidRPr="00E91BB3">
              <w:rPr>
                <w:vertAlign w:val="subscript"/>
              </w:rPr>
              <w:t xml:space="preserve">UL_low </w:t>
            </w:r>
            <w:r w:rsidRPr="00E91BB3">
              <w:t>of n79 and 8.8 dB for bands whose F</w:t>
            </w:r>
            <w:r w:rsidRPr="00E91BB3">
              <w:rPr>
                <w:vertAlign w:val="subscript"/>
              </w:rPr>
              <w:t>UL_high</w:t>
            </w:r>
            <w:r w:rsidRPr="00E91BB3" w:rsidDel="00411D7A">
              <w:t xml:space="preserve"> </w:t>
            </w:r>
            <w:r w:rsidRPr="00E91BB3">
              <w:t>is lower than the F</w:t>
            </w:r>
            <w:r w:rsidRPr="00E91BB3">
              <w:rPr>
                <w:vertAlign w:val="subscript"/>
              </w:rPr>
              <w:t>UL_low</w:t>
            </w:r>
            <w:r w:rsidRPr="00E91BB3" w:rsidDel="00411D7A">
              <w:rPr>
                <w:vertAlign w:val="subscript"/>
              </w:rPr>
              <w:t xml:space="preserve"> </w:t>
            </w:r>
            <w:r w:rsidRPr="00E91BB3">
              <w:t>of n79 during SRS transmission occasions with</w:t>
            </w:r>
            <w:r w:rsidRPr="00E91BB3">
              <w:rPr>
                <w:color w:val="7030A0"/>
                <w:u w:val="single"/>
              </w:rPr>
              <w:t xml:space="preserve"> </w:t>
            </w:r>
            <w:r w:rsidRPr="00E91BB3">
              <w:t>configured SRS resources consisting of one SRS port when the device is capable of power class 2 in the band and ΔP</w:t>
            </w:r>
            <w:r w:rsidRPr="00E91BB3">
              <w:rPr>
                <w:vertAlign w:val="subscript"/>
              </w:rPr>
              <w:t>PowerClass</w:t>
            </w:r>
            <w:r w:rsidRPr="00E91BB3">
              <w:t xml:space="preserve"> = 0 dB and not indicating </w:t>
            </w:r>
            <w:r w:rsidRPr="00E91BB3">
              <w:rPr>
                <w:i/>
                <w:iCs/>
              </w:rPr>
              <w:t>txDiversity-r16</w:t>
            </w:r>
            <w:r w:rsidRPr="00E91BB3">
              <w:t>.</w:t>
            </w:r>
          </w:p>
          <w:p w14:paraId="596810BB" w14:textId="77777777" w:rsidR="009F74CB" w:rsidRPr="001758D7" w:rsidRDefault="009F74CB" w:rsidP="00A13E1A">
            <w:pPr>
              <w:pStyle w:val="B1"/>
              <w:rPr>
                <w:lang w:val="en-US"/>
              </w:rPr>
            </w:pPr>
            <w:r w:rsidRPr="00891E25">
              <w:t xml:space="preserve">else, if </w:t>
            </w:r>
            <w:r w:rsidRPr="00891E25">
              <w:rPr>
                <w:lang w:val="en-US"/>
              </w:rPr>
              <w:t>'t1r8' and 't2r8'</w:t>
            </w:r>
            <w:r w:rsidRPr="00891E25">
              <w:t xml:space="preserve"> are </w:t>
            </w:r>
            <w:r w:rsidRPr="00891E25">
              <w:rPr>
                <w:lang w:val="en-US"/>
              </w:rPr>
              <w:t>indicated:</w:t>
            </w:r>
          </w:p>
          <w:p w14:paraId="0856C20F" w14:textId="77777777" w:rsidR="009F74CB" w:rsidRPr="00E91BB3" w:rsidRDefault="009F74CB" w:rsidP="00A13E1A">
            <w:pPr>
              <w:pStyle w:val="B2"/>
            </w:pPr>
            <w:r w:rsidRPr="00E91BB3">
              <w:t>-</w:t>
            </w:r>
            <w:r w:rsidRPr="00E91BB3">
              <w:tab/>
              <w:t>The value of ∆T</w:t>
            </w:r>
            <w:r w:rsidRPr="00E91BB3">
              <w:rPr>
                <w:vertAlign w:val="subscript"/>
              </w:rPr>
              <w:t>RxSRS</w:t>
            </w:r>
            <w:r w:rsidRPr="00E91BB3">
              <w:t xml:space="preserve"> is 6.0 dB for bands whose F</w:t>
            </w:r>
            <w:r w:rsidRPr="00E91BB3">
              <w:rPr>
                <w:vertAlign w:val="subscript"/>
              </w:rPr>
              <w:t xml:space="preserve">UL_high </w:t>
            </w:r>
            <w:r w:rsidRPr="00E91BB3">
              <w:t>is higher than the F</w:t>
            </w:r>
            <w:r w:rsidRPr="00E91BB3">
              <w:rPr>
                <w:vertAlign w:val="subscript"/>
              </w:rPr>
              <w:t xml:space="preserve">UL_low </w:t>
            </w:r>
            <w:r w:rsidRPr="00E91BB3">
              <w:t>of n79 and 4.5 dB for bands whose F</w:t>
            </w:r>
            <w:r w:rsidRPr="00E91BB3">
              <w:rPr>
                <w:vertAlign w:val="subscript"/>
              </w:rPr>
              <w:t>UL_high</w:t>
            </w:r>
            <w:r w:rsidRPr="00E91BB3" w:rsidDel="00411D7A">
              <w:t xml:space="preserve"> </w:t>
            </w:r>
            <w:r w:rsidRPr="00E91BB3">
              <w:t>is lower than the F</w:t>
            </w:r>
            <w:r w:rsidRPr="00E91BB3">
              <w:rPr>
                <w:vertAlign w:val="subscript"/>
              </w:rPr>
              <w:t>UL_low</w:t>
            </w:r>
            <w:r w:rsidRPr="00E91BB3" w:rsidDel="00411D7A">
              <w:rPr>
                <w:vertAlign w:val="subscript"/>
              </w:rPr>
              <w:t xml:space="preserve"> </w:t>
            </w:r>
            <w:r w:rsidRPr="00E91BB3">
              <w:t>of n79 when the device is capable of power class 3 or power class 5 or power class 1.5 in the band, or when the device is capable of power class 2 in the band and ΔP</w:t>
            </w:r>
            <w:r w:rsidRPr="00E91BB3">
              <w:rPr>
                <w:vertAlign w:val="subscript"/>
              </w:rPr>
              <w:t>PowerClass</w:t>
            </w:r>
            <w:r w:rsidRPr="00E91BB3">
              <w:t xml:space="preserve"> = 3 dB, or </w:t>
            </w:r>
            <w:r w:rsidRPr="00E91BB3">
              <w:rPr>
                <w:lang w:eastAsia="zh-CN"/>
              </w:rPr>
              <w:t xml:space="preserve">when </w:t>
            </w:r>
            <w:r w:rsidRPr="00E91BB3">
              <w:t xml:space="preserve">UE indicating </w:t>
            </w:r>
            <w:r w:rsidRPr="00E91BB3">
              <w:rPr>
                <w:i/>
                <w:iCs/>
              </w:rPr>
              <w:t>txDiversity-r16</w:t>
            </w:r>
            <w:r w:rsidRPr="00E91BB3">
              <w:t xml:space="preserve">. </w:t>
            </w:r>
          </w:p>
          <w:p w14:paraId="035F710D" w14:textId="77777777" w:rsidR="009F74CB" w:rsidRPr="00E91BB3" w:rsidRDefault="009F74CB" w:rsidP="00A13E1A">
            <w:pPr>
              <w:pStyle w:val="B2"/>
            </w:pPr>
            <w:r w:rsidRPr="00E91BB3">
              <w:t>-</w:t>
            </w:r>
            <w:r w:rsidRPr="00E91BB3">
              <w:tab/>
              <w:t>The value of ∆T</w:t>
            </w:r>
            <w:r w:rsidRPr="00E91BB3">
              <w:rPr>
                <w:vertAlign w:val="subscript"/>
              </w:rPr>
              <w:t>RxSRS</w:t>
            </w:r>
            <w:r w:rsidRPr="00E91BB3">
              <w:t xml:space="preserve"> is 9.0 dB for bands whose F</w:t>
            </w:r>
            <w:r w:rsidRPr="00E91BB3">
              <w:rPr>
                <w:vertAlign w:val="subscript"/>
              </w:rPr>
              <w:t xml:space="preserve">UL_high </w:t>
            </w:r>
            <w:r w:rsidRPr="00E91BB3">
              <w:t>is higher than the F</w:t>
            </w:r>
            <w:r w:rsidRPr="00E91BB3">
              <w:rPr>
                <w:vertAlign w:val="subscript"/>
              </w:rPr>
              <w:t xml:space="preserve">UL_low </w:t>
            </w:r>
            <w:r w:rsidRPr="00E91BB3">
              <w:t>of n79 and 7.5 dB for bands whose F</w:t>
            </w:r>
            <w:r w:rsidRPr="00E91BB3">
              <w:rPr>
                <w:vertAlign w:val="subscript"/>
              </w:rPr>
              <w:t>UL_high</w:t>
            </w:r>
            <w:r w:rsidRPr="00E91BB3" w:rsidDel="00411D7A">
              <w:t xml:space="preserve"> </w:t>
            </w:r>
            <w:r w:rsidRPr="00E91BB3">
              <w:t>is lower than the F</w:t>
            </w:r>
            <w:r w:rsidRPr="00E91BB3">
              <w:rPr>
                <w:vertAlign w:val="subscript"/>
              </w:rPr>
              <w:t>UL_low</w:t>
            </w:r>
            <w:r w:rsidRPr="00E91BB3" w:rsidDel="00411D7A">
              <w:rPr>
                <w:vertAlign w:val="subscript"/>
              </w:rPr>
              <w:t xml:space="preserve"> </w:t>
            </w:r>
            <w:r w:rsidRPr="00E91BB3">
              <w:t>of n79 during SRS transmission occasions with</w:t>
            </w:r>
            <w:r w:rsidRPr="00E91BB3">
              <w:rPr>
                <w:color w:val="7030A0"/>
                <w:u w:val="single"/>
              </w:rPr>
              <w:t xml:space="preserve"> </w:t>
            </w:r>
            <w:r w:rsidRPr="00E91BB3">
              <w:t>configured SRS resources consisting of one SRS port when the device is capable of power class 2 in the band and ΔP</w:t>
            </w:r>
            <w:r w:rsidRPr="00E91BB3">
              <w:rPr>
                <w:vertAlign w:val="subscript"/>
              </w:rPr>
              <w:t>PowerClass</w:t>
            </w:r>
            <w:r w:rsidRPr="00E91BB3">
              <w:t xml:space="preserve"> = 0 dB and not indicating </w:t>
            </w:r>
            <w:r w:rsidRPr="00E91BB3">
              <w:rPr>
                <w:i/>
                <w:iCs/>
              </w:rPr>
              <w:t>txDiversity-r16</w:t>
            </w:r>
            <w:r w:rsidRPr="00E91BB3">
              <w:t>.</w:t>
            </w:r>
          </w:p>
          <w:p w14:paraId="7F80AAA7" w14:textId="77777777" w:rsidR="009F74CB" w:rsidRPr="00E91BB3" w:rsidRDefault="009F74CB" w:rsidP="00A13E1A">
            <w:pPr>
              <w:pStyle w:val="B1"/>
            </w:pPr>
            <w:r w:rsidRPr="00E91BB3">
              <w:lastRenderedPageBreak/>
              <w:t>else, if 't1r8' or 't2r8', but not both is indicated:</w:t>
            </w:r>
          </w:p>
          <w:p w14:paraId="061FCBF2" w14:textId="77777777" w:rsidR="009F74CB" w:rsidRPr="00E91BB3" w:rsidRDefault="009F74CB" w:rsidP="00A13E1A">
            <w:pPr>
              <w:pStyle w:val="B2"/>
            </w:pPr>
            <w:r w:rsidRPr="00E91BB3">
              <w:t>-</w:t>
            </w:r>
            <w:r w:rsidRPr="00E91BB3">
              <w:tab/>
              <w:t>The value of ∆T</w:t>
            </w:r>
            <w:r w:rsidRPr="00E91BB3">
              <w:rPr>
                <w:vertAlign w:val="subscript"/>
              </w:rPr>
              <w:t>RxSRS</w:t>
            </w:r>
            <w:r w:rsidRPr="00E91BB3">
              <w:t xml:space="preserve"> is 5.5 dB for bands whose F</w:t>
            </w:r>
            <w:r w:rsidRPr="00E91BB3">
              <w:rPr>
                <w:vertAlign w:val="subscript"/>
              </w:rPr>
              <w:t xml:space="preserve">UL_high </w:t>
            </w:r>
            <w:r w:rsidRPr="00E91BB3">
              <w:t>is higher than the F</w:t>
            </w:r>
            <w:r w:rsidRPr="00E91BB3">
              <w:rPr>
                <w:vertAlign w:val="subscript"/>
              </w:rPr>
              <w:t xml:space="preserve">UL_low </w:t>
            </w:r>
            <w:r w:rsidRPr="00E91BB3">
              <w:t>of n79 and 4.0 dB for bands whose F</w:t>
            </w:r>
            <w:r w:rsidRPr="00E91BB3">
              <w:rPr>
                <w:vertAlign w:val="subscript"/>
              </w:rPr>
              <w:t>UL_high</w:t>
            </w:r>
            <w:r w:rsidRPr="00E91BB3" w:rsidDel="00411D7A">
              <w:t xml:space="preserve"> </w:t>
            </w:r>
            <w:r w:rsidRPr="00E91BB3">
              <w:t>is lower than the F</w:t>
            </w:r>
            <w:r w:rsidRPr="00E91BB3">
              <w:rPr>
                <w:vertAlign w:val="subscript"/>
              </w:rPr>
              <w:t>UL_low</w:t>
            </w:r>
            <w:r w:rsidRPr="00E91BB3" w:rsidDel="00411D7A">
              <w:rPr>
                <w:vertAlign w:val="subscript"/>
              </w:rPr>
              <w:t xml:space="preserve"> </w:t>
            </w:r>
            <w:r w:rsidRPr="00E91BB3">
              <w:t>of n79 when the device is capable of power class 3 or power class 5 or power class 1.5 in the band, or when the device is capable of power class 2 in the band and ΔP</w:t>
            </w:r>
            <w:r w:rsidRPr="00E91BB3">
              <w:rPr>
                <w:vertAlign w:val="subscript"/>
              </w:rPr>
              <w:t>PowerClass</w:t>
            </w:r>
            <w:r w:rsidRPr="00E91BB3">
              <w:t xml:space="preserve"> = 3 dB, or </w:t>
            </w:r>
            <w:r w:rsidRPr="00E91BB3">
              <w:rPr>
                <w:lang w:eastAsia="zh-CN"/>
              </w:rPr>
              <w:t xml:space="preserve">when </w:t>
            </w:r>
            <w:r w:rsidRPr="00E91BB3">
              <w:t xml:space="preserve">UE indicating </w:t>
            </w:r>
            <w:r w:rsidRPr="00E91BB3">
              <w:rPr>
                <w:i/>
                <w:iCs/>
              </w:rPr>
              <w:t>txDiversity-r16</w:t>
            </w:r>
            <w:r w:rsidRPr="00E91BB3">
              <w:t xml:space="preserve">. </w:t>
            </w:r>
          </w:p>
          <w:p w14:paraId="0CDFBF62" w14:textId="77777777" w:rsidR="009F74CB" w:rsidRPr="001758D7" w:rsidRDefault="009F74CB" w:rsidP="00A13E1A">
            <w:pPr>
              <w:pStyle w:val="B2"/>
            </w:pPr>
            <w:r w:rsidRPr="00E91BB3">
              <w:t>-</w:t>
            </w:r>
            <w:r w:rsidRPr="00E91BB3">
              <w:tab/>
              <w:t>The value of ∆T</w:t>
            </w:r>
            <w:r w:rsidRPr="00E91BB3">
              <w:rPr>
                <w:vertAlign w:val="subscript"/>
              </w:rPr>
              <w:t>RxSRS</w:t>
            </w:r>
            <w:r w:rsidRPr="00E91BB3">
              <w:t xml:space="preserve"> is 8.5 dB for bands whose F</w:t>
            </w:r>
            <w:r w:rsidRPr="00E91BB3">
              <w:rPr>
                <w:vertAlign w:val="subscript"/>
              </w:rPr>
              <w:t xml:space="preserve">UL_high </w:t>
            </w:r>
            <w:r w:rsidRPr="00E91BB3">
              <w:t>is higher than the F</w:t>
            </w:r>
            <w:r w:rsidRPr="00E91BB3">
              <w:rPr>
                <w:vertAlign w:val="subscript"/>
              </w:rPr>
              <w:t xml:space="preserve">UL_low </w:t>
            </w:r>
            <w:r w:rsidRPr="00E91BB3">
              <w:t>of n79 and 7.0 dB for bands whose F</w:t>
            </w:r>
            <w:r w:rsidRPr="00E91BB3">
              <w:rPr>
                <w:vertAlign w:val="subscript"/>
              </w:rPr>
              <w:t>UL_high</w:t>
            </w:r>
            <w:r w:rsidRPr="00E91BB3" w:rsidDel="00411D7A">
              <w:t xml:space="preserve"> </w:t>
            </w:r>
            <w:r w:rsidRPr="00E91BB3">
              <w:t>is lower than the F</w:t>
            </w:r>
            <w:r w:rsidRPr="00E91BB3">
              <w:rPr>
                <w:vertAlign w:val="subscript"/>
              </w:rPr>
              <w:t>UL_low</w:t>
            </w:r>
            <w:r w:rsidRPr="00E91BB3" w:rsidDel="00411D7A">
              <w:rPr>
                <w:vertAlign w:val="subscript"/>
              </w:rPr>
              <w:t xml:space="preserve"> </w:t>
            </w:r>
            <w:r w:rsidRPr="00E91BB3">
              <w:t>of n79 during SRS transmission occasions with</w:t>
            </w:r>
            <w:r w:rsidRPr="00E91BB3">
              <w:rPr>
                <w:color w:val="7030A0"/>
                <w:u w:val="single"/>
              </w:rPr>
              <w:t xml:space="preserve"> </w:t>
            </w:r>
            <w:r w:rsidRPr="00E91BB3">
              <w:t>configured SRS resources consisting of one SRS port when the device is capable of power class 2 in the band and ΔP</w:t>
            </w:r>
            <w:r w:rsidRPr="00E91BB3">
              <w:rPr>
                <w:vertAlign w:val="subscript"/>
              </w:rPr>
              <w:t>PowerClass</w:t>
            </w:r>
            <w:r w:rsidRPr="00E91BB3">
              <w:t xml:space="preserve"> = 0 dB and not indicating </w:t>
            </w:r>
            <w:r w:rsidRPr="00E91BB3">
              <w:rPr>
                <w:i/>
                <w:iCs/>
              </w:rPr>
              <w:t>txDiversity-r16</w:t>
            </w:r>
            <w:r w:rsidRPr="00E91BB3">
              <w:t>.</w:t>
            </w:r>
          </w:p>
          <w:p w14:paraId="7EBDDC7A" w14:textId="77777777" w:rsidR="009F74CB" w:rsidRPr="00E16FB0" w:rsidRDefault="009F74CB" w:rsidP="00A13E1A">
            <w:pPr>
              <w:pStyle w:val="B1"/>
              <w:rPr>
                <w:lang w:val="fr-FR"/>
              </w:rPr>
            </w:pPr>
            <w:r>
              <w:rPr>
                <w:lang w:val="fr-FR"/>
              </w:rPr>
              <w:t xml:space="preserve">else, if </w:t>
            </w:r>
            <w:r w:rsidRPr="00146984">
              <w:rPr>
                <w:lang w:val="fr-FR"/>
              </w:rPr>
              <w:t xml:space="preserve"> 't1r2', 't1r1-t1r2', 't1r4', 't1r4-t2r4'</w:t>
            </w:r>
            <w:r>
              <w:rPr>
                <w:lang w:val="fr-FR"/>
              </w:rPr>
              <w:t xml:space="preserve">, </w:t>
            </w:r>
            <w:r w:rsidRPr="00146984">
              <w:rPr>
                <w:lang w:val="fr-FR"/>
              </w:rPr>
              <w:t>'t1r1-t1r2-t1r4',</w:t>
            </w:r>
            <w:r>
              <w:rPr>
                <w:lang w:val="fr-FR"/>
              </w:rPr>
              <w:t xml:space="preserve"> </w:t>
            </w:r>
            <w:r w:rsidRPr="00146984">
              <w:rPr>
                <w:lang w:val="fr-FR"/>
              </w:rPr>
              <w:t>'t</w:t>
            </w:r>
            <w:r>
              <w:rPr>
                <w:lang w:val="fr-FR"/>
              </w:rPr>
              <w:t>2</w:t>
            </w:r>
            <w:r w:rsidRPr="00146984">
              <w:rPr>
                <w:lang w:val="fr-FR"/>
              </w:rPr>
              <w:t>r</w:t>
            </w:r>
            <w:r>
              <w:rPr>
                <w:lang w:val="fr-FR"/>
              </w:rPr>
              <w:t>4</w:t>
            </w:r>
            <w:r w:rsidRPr="00146984">
              <w:rPr>
                <w:lang w:val="fr-FR"/>
              </w:rPr>
              <w:t>'</w:t>
            </w:r>
            <w:r>
              <w:rPr>
                <w:lang w:val="fr-FR"/>
              </w:rPr>
              <w:t xml:space="preserve">, </w:t>
            </w:r>
            <w:r w:rsidRPr="00146984">
              <w:rPr>
                <w:lang w:val="fr-FR"/>
              </w:rPr>
              <w:t>'t1r1-t1r2-t2r2-t2r4'</w:t>
            </w:r>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is indicated</w:t>
            </w:r>
            <w:r w:rsidRPr="004F5ECE">
              <w:rPr>
                <w:lang w:val="fr-FR"/>
              </w:rPr>
              <w:t>:</w:t>
            </w:r>
          </w:p>
          <w:p w14:paraId="54C03845" w14:textId="77777777" w:rsidR="009F74CB" w:rsidRDefault="009F74CB" w:rsidP="00A13E1A">
            <w:pPr>
              <w:pStyle w:val="B2"/>
            </w:pPr>
            <w:r>
              <w:t>-</w:t>
            </w: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6D3B83F5" w14:textId="77777777" w:rsidR="009F74CB" w:rsidRDefault="009F74CB" w:rsidP="00A13E1A">
            <w:pPr>
              <w:pStyle w:val="B2"/>
            </w:pPr>
            <w:r>
              <w:t>-</w:t>
            </w:r>
            <w:r>
              <w:tab/>
            </w: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1F42467E" w14:textId="77777777" w:rsidR="009F74CB" w:rsidRPr="00015211" w:rsidRDefault="009F74CB" w:rsidP="00A13E1A">
            <w:pPr>
              <w:pStyle w:val="B1"/>
              <w:rPr>
                <w:szCs w:val="18"/>
              </w:rPr>
            </w:pPr>
            <w:r>
              <w:tab/>
            </w:r>
            <w:r w:rsidRPr="00A1115A">
              <w:t>For other SRS transmissions ∆T</w:t>
            </w:r>
            <w:r w:rsidRPr="00A1115A">
              <w:rPr>
                <w:vertAlign w:val="subscript"/>
              </w:rPr>
              <w:t>RxSRS</w:t>
            </w:r>
            <w:r w:rsidRPr="00A1115A">
              <w:t xml:space="preserve"> is zero;</w:t>
            </w:r>
          </w:p>
        </w:tc>
      </w:tr>
    </w:tbl>
    <w:p w14:paraId="34B0EA3C" w14:textId="77777777" w:rsidR="004D6BC6" w:rsidRDefault="004D6BC6"/>
    <w:p w14:paraId="0216DC43" w14:textId="77777777" w:rsidR="004D6BC6" w:rsidRDefault="00000000">
      <w:r>
        <w:t>In TS38.101-1 specification, RAN4 can define the detail ΔTRxSRS of 6Rx for all candidate SRS antenna configurations as follow</w:t>
      </w:r>
    </w:p>
    <w:p w14:paraId="420CAF5C" w14:textId="77777777" w:rsidR="004D6BC6" w:rsidRDefault="00000000">
      <w:pPr>
        <w:numPr>
          <w:ilvl w:val="0"/>
          <w:numId w:val="3"/>
        </w:numPr>
        <w:pBdr>
          <w:top w:val="nil"/>
          <w:left w:val="nil"/>
          <w:bottom w:val="nil"/>
          <w:right w:val="nil"/>
          <w:between w:val="nil"/>
        </w:pBdr>
      </w:pPr>
      <w:r>
        <w:rPr>
          <w:color w:val="000000"/>
        </w:rPr>
        <w:t>Possible SRS antenna configurations for example TDD bands</w:t>
      </w:r>
    </w:p>
    <w:p w14:paraId="7BB03F07" w14:textId="77777777" w:rsidR="004D6BC6" w:rsidRDefault="00000000">
      <w:pPr>
        <w:numPr>
          <w:ilvl w:val="0"/>
          <w:numId w:val="2"/>
        </w:numPr>
        <w:pBdr>
          <w:top w:val="nil"/>
          <w:left w:val="nil"/>
          <w:bottom w:val="nil"/>
          <w:right w:val="nil"/>
          <w:between w:val="nil"/>
        </w:pBdr>
      </w:pPr>
      <w:r>
        <w:rPr>
          <w:color w:val="000000"/>
        </w:rPr>
        <w:t>‘t1r1’, ‘t1r2’, ‘t1r4’, ‘t1r6’</w:t>
      </w:r>
    </w:p>
    <w:p w14:paraId="336EE1E2" w14:textId="77777777" w:rsidR="004D6BC6" w:rsidRDefault="00000000">
      <w:pPr>
        <w:numPr>
          <w:ilvl w:val="0"/>
          <w:numId w:val="2"/>
        </w:numPr>
        <w:pBdr>
          <w:top w:val="nil"/>
          <w:left w:val="nil"/>
          <w:bottom w:val="nil"/>
          <w:right w:val="nil"/>
          <w:between w:val="nil"/>
        </w:pBdr>
      </w:pPr>
      <w:r>
        <w:rPr>
          <w:color w:val="000000"/>
        </w:rPr>
        <w:t>‘t2r2’, ‘t2r4’, ‘t2r6</w:t>
      </w:r>
    </w:p>
    <w:p w14:paraId="3FDC7C22" w14:textId="77777777" w:rsidR="004D6BC6" w:rsidRDefault="00000000">
      <w:pPr>
        <w:numPr>
          <w:ilvl w:val="0"/>
          <w:numId w:val="2"/>
        </w:numPr>
        <w:pBdr>
          <w:top w:val="nil"/>
          <w:left w:val="nil"/>
          <w:bottom w:val="nil"/>
          <w:right w:val="nil"/>
          <w:between w:val="nil"/>
        </w:pBdr>
      </w:pPr>
      <w:r>
        <w:rPr>
          <w:color w:val="000000"/>
        </w:rPr>
        <w:t>‘t4r4’, ‘t4r6’</w:t>
      </w:r>
    </w:p>
    <w:p w14:paraId="089306D0" w14:textId="77777777" w:rsidR="004D6BC6" w:rsidRPr="009F74CB" w:rsidRDefault="00000000">
      <w:pPr>
        <w:numPr>
          <w:ilvl w:val="0"/>
          <w:numId w:val="2"/>
        </w:numPr>
        <w:pBdr>
          <w:top w:val="nil"/>
          <w:left w:val="nil"/>
          <w:bottom w:val="nil"/>
          <w:right w:val="nil"/>
          <w:between w:val="nil"/>
        </w:pBdr>
        <w:rPr>
          <w:color w:val="000000"/>
          <w:lang w:val="pt-BR"/>
        </w:rPr>
      </w:pPr>
      <w:r w:rsidRPr="009F74CB">
        <w:rPr>
          <w:color w:val="000000"/>
          <w:lang w:val="pt-BR"/>
        </w:rPr>
        <w:t xml:space="preserve">'t1r1-t1r2', 't1r4-t2r4', 't1r1-t1r2-t1r4', 't1r1-t1r2-t2r2-t2r4', 't1r1-t1r2-t2r2-t1r4-t2r4' </w:t>
      </w:r>
    </w:p>
    <w:p w14:paraId="0B79009B" w14:textId="77777777" w:rsidR="004D6BC6" w:rsidRPr="009F74CB" w:rsidRDefault="004D6BC6">
      <w:pPr>
        <w:rPr>
          <w:lang w:val="pt-BR"/>
        </w:rPr>
      </w:pPr>
    </w:p>
    <w:p w14:paraId="3C18DFC6" w14:textId="36F4673F" w:rsidR="004D6BC6" w:rsidRDefault="00000000">
      <w:pPr>
        <w:rPr>
          <w:b/>
          <w:i/>
        </w:rPr>
      </w:pPr>
      <w:r>
        <w:rPr>
          <w:b/>
        </w:rPr>
        <w:t xml:space="preserve">Proposal </w:t>
      </w:r>
      <w:r w:rsidR="009F74CB">
        <w:rPr>
          <w:b/>
        </w:rPr>
        <w:t>3</w:t>
      </w:r>
      <w:r>
        <w:rPr>
          <w:b/>
        </w:rPr>
        <w:t xml:space="preserve">: </w:t>
      </w:r>
      <w:r>
        <w:rPr>
          <w:b/>
          <w:i/>
        </w:rPr>
        <w:t>RAN4 can define the detailed ΔTRxSRS values according to the possible SRS antenna configuration.</w:t>
      </w:r>
    </w:p>
    <w:p w14:paraId="214D81E1" w14:textId="77777777" w:rsidR="004D6BC6" w:rsidRDefault="004D6BC6"/>
    <w:p w14:paraId="357C4B23" w14:textId="77777777" w:rsidR="004D6BC6" w:rsidRDefault="00000000">
      <w:pPr>
        <w:pStyle w:val="3"/>
        <w:numPr>
          <w:ilvl w:val="1"/>
          <w:numId w:val="4"/>
        </w:numPr>
        <w:ind w:left="845" w:hanging="851"/>
        <w:rPr>
          <w:b/>
        </w:rPr>
      </w:pPr>
      <w:r>
        <w:rPr>
          <w:b/>
        </w:rPr>
        <w:t>Release independent for 6Rx</w:t>
      </w:r>
    </w:p>
    <w:p w14:paraId="7C5B529B" w14:textId="77777777" w:rsidR="004D6BC6" w:rsidRDefault="00000000">
      <w:r>
        <w:t>In TS38.307, the 8Rx feature for FWA/CPE as like large scale form-factor devices would be supported from Rel-17 based on the following specific UE RF core requirements.</w:t>
      </w:r>
    </w:p>
    <w:tbl>
      <w:tblPr>
        <w:tblStyle w:val="aff2"/>
        <w:tblW w:w="901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4D6BC6" w14:paraId="08112EA6" w14:textId="77777777">
        <w:tc>
          <w:tcPr>
            <w:tcW w:w="9019" w:type="dxa"/>
          </w:tcPr>
          <w:p w14:paraId="567CFCCB" w14:textId="77777777" w:rsidR="004D6BC6" w:rsidRDefault="00000000">
            <w:r>
              <w:t>Captured in TS38.307 [3]</w:t>
            </w:r>
          </w:p>
          <w:p w14:paraId="13FAD496" w14:textId="77777777" w:rsidR="004D6BC6" w:rsidRDefault="00000000">
            <w:pPr>
              <w:pStyle w:val="2"/>
            </w:pPr>
            <w:bookmarkStart w:id="1" w:name="_heading=h.1fob9te" w:colFirst="0" w:colLast="0"/>
            <w:bookmarkEnd w:id="1"/>
            <w:r>
              <w:t>B.4.x</w:t>
            </w:r>
            <w:r>
              <w:tab/>
              <w:t>Common UE RF requirements for 8Rx</w:t>
            </w:r>
          </w:p>
          <w:p w14:paraId="18BA33FE" w14:textId="77777777" w:rsidR="004D6BC6" w:rsidRDefault="00000000">
            <w:r>
              <w:t>The requirements and test cases listed in Table B.4.x-1 are specified in the REL-18 version of TS 38.101-1 [2].</w:t>
            </w:r>
          </w:p>
          <w:p w14:paraId="3A696546" w14:textId="77777777" w:rsidR="004D6BC6" w:rsidRDefault="00000000">
            <w:pPr>
              <w:keepNext/>
              <w:keepLines/>
              <w:widowControl/>
              <w:pBdr>
                <w:top w:val="nil"/>
                <w:left w:val="nil"/>
                <w:bottom w:val="nil"/>
                <w:right w:val="nil"/>
                <w:between w:val="nil"/>
              </w:pBdr>
              <w:spacing w:before="60"/>
              <w:jc w:val="center"/>
              <w:rPr>
                <w:b/>
                <w:color w:val="000000"/>
                <w:sz w:val="20"/>
                <w:szCs w:val="20"/>
              </w:rPr>
            </w:pPr>
            <w:r>
              <w:rPr>
                <w:b/>
                <w:color w:val="000000"/>
                <w:sz w:val="20"/>
                <w:szCs w:val="20"/>
              </w:rPr>
              <w:t>Table B.4.x-1: Common UE RF requirements for 8Rx for single band in FR1</w:t>
            </w:r>
          </w:p>
          <w:tbl>
            <w:tblPr>
              <w:tblStyle w:val="aff3"/>
              <w:tblW w:w="866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4"/>
              <w:gridCol w:w="5724"/>
            </w:tblGrid>
            <w:tr w:rsidR="004D6BC6" w14:paraId="68689934" w14:textId="77777777">
              <w:trPr>
                <w:trHeight w:val="255"/>
              </w:trPr>
              <w:tc>
                <w:tcPr>
                  <w:tcW w:w="2944" w:type="dxa"/>
                  <w:tcBorders>
                    <w:top w:val="single" w:sz="4" w:space="0" w:color="000000"/>
                    <w:left w:val="single" w:sz="4" w:space="0" w:color="000000"/>
                    <w:bottom w:val="single" w:sz="4" w:space="0" w:color="000000"/>
                    <w:right w:val="single" w:sz="4" w:space="0" w:color="000000"/>
                  </w:tcBorders>
                </w:tcPr>
                <w:p w14:paraId="785F0BA3" w14:textId="77777777" w:rsidR="004D6BC6"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Clause</w:t>
                  </w:r>
                </w:p>
              </w:tc>
              <w:tc>
                <w:tcPr>
                  <w:tcW w:w="5724" w:type="dxa"/>
                  <w:tcBorders>
                    <w:top w:val="single" w:sz="4" w:space="0" w:color="000000"/>
                    <w:left w:val="single" w:sz="4" w:space="0" w:color="000000"/>
                    <w:bottom w:val="single" w:sz="4" w:space="0" w:color="000000"/>
                    <w:right w:val="single" w:sz="4" w:space="0" w:color="000000"/>
                  </w:tcBorders>
                </w:tcPr>
                <w:p w14:paraId="714E6AEA" w14:textId="77777777" w:rsidR="004D6BC6"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Description</w:t>
                  </w:r>
                </w:p>
              </w:tc>
            </w:tr>
            <w:tr w:rsidR="004D6BC6" w14:paraId="66DBC5C4" w14:textId="77777777">
              <w:trPr>
                <w:trHeight w:val="255"/>
              </w:trPr>
              <w:tc>
                <w:tcPr>
                  <w:tcW w:w="2944" w:type="dxa"/>
                  <w:tcBorders>
                    <w:top w:val="single" w:sz="4" w:space="0" w:color="000000"/>
                    <w:left w:val="single" w:sz="4" w:space="0" w:color="000000"/>
                    <w:bottom w:val="single" w:sz="4" w:space="0" w:color="000000"/>
                    <w:right w:val="single" w:sz="4" w:space="0" w:color="000000"/>
                  </w:tcBorders>
                </w:tcPr>
                <w:p w14:paraId="0FCA4605"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7.3</w:t>
                  </w:r>
                </w:p>
              </w:tc>
              <w:tc>
                <w:tcPr>
                  <w:tcW w:w="5724" w:type="dxa"/>
                  <w:tcBorders>
                    <w:top w:val="single" w:sz="4" w:space="0" w:color="000000"/>
                    <w:left w:val="single" w:sz="4" w:space="0" w:color="000000"/>
                    <w:bottom w:val="single" w:sz="4" w:space="0" w:color="000000"/>
                    <w:right w:val="single" w:sz="4" w:space="0" w:color="000000"/>
                  </w:tcBorders>
                </w:tcPr>
                <w:p w14:paraId="5DECF765"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Reference sensitivity</w:t>
                  </w:r>
                </w:p>
              </w:tc>
            </w:tr>
            <w:tr w:rsidR="004D6BC6" w14:paraId="179597C9" w14:textId="77777777">
              <w:trPr>
                <w:trHeight w:val="255"/>
              </w:trPr>
              <w:tc>
                <w:tcPr>
                  <w:tcW w:w="2944" w:type="dxa"/>
                  <w:tcBorders>
                    <w:top w:val="single" w:sz="4" w:space="0" w:color="000000"/>
                    <w:left w:val="single" w:sz="4" w:space="0" w:color="000000"/>
                    <w:bottom w:val="single" w:sz="4" w:space="0" w:color="000000"/>
                    <w:right w:val="single" w:sz="4" w:space="0" w:color="000000"/>
                  </w:tcBorders>
                </w:tcPr>
                <w:p w14:paraId="183ED582"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7.4</w:t>
                  </w:r>
                </w:p>
              </w:tc>
              <w:tc>
                <w:tcPr>
                  <w:tcW w:w="5724" w:type="dxa"/>
                  <w:tcBorders>
                    <w:top w:val="single" w:sz="4" w:space="0" w:color="000000"/>
                    <w:left w:val="single" w:sz="4" w:space="0" w:color="000000"/>
                    <w:bottom w:val="single" w:sz="4" w:space="0" w:color="000000"/>
                    <w:right w:val="single" w:sz="4" w:space="0" w:color="000000"/>
                  </w:tcBorders>
                </w:tcPr>
                <w:p w14:paraId="3D91A5E2"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Maximum input level</w:t>
                  </w:r>
                </w:p>
              </w:tc>
            </w:tr>
            <w:tr w:rsidR="004D6BC6" w14:paraId="4F7511E0" w14:textId="77777777">
              <w:trPr>
                <w:trHeight w:val="255"/>
              </w:trPr>
              <w:tc>
                <w:tcPr>
                  <w:tcW w:w="2944" w:type="dxa"/>
                  <w:tcBorders>
                    <w:top w:val="single" w:sz="4" w:space="0" w:color="000000"/>
                    <w:left w:val="single" w:sz="4" w:space="0" w:color="000000"/>
                    <w:bottom w:val="single" w:sz="4" w:space="0" w:color="000000"/>
                    <w:right w:val="single" w:sz="4" w:space="0" w:color="000000"/>
                  </w:tcBorders>
                </w:tcPr>
                <w:p w14:paraId="60ECB4D6"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lastRenderedPageBreak/>
                    <w:t>7.5</w:t>
                  </w:r>
                </w:p>
              </w:tc>
              <w:tc>
                <w:tcPr>
                  <w:tcW w:w="5724" w:type="dxa"/>
                  <w:tcBorders>
                    <w:top w:val="single" w:sz="4" w:space="0" w:color="000000"/>
                    <w:left w:val="single" w:sz="4" w:space="0" w:color="000000"/>
                    <w:bottom w:val="single" w:sz="4" w:space="0" w:color="000000"/>
                    <w:right w:val="single" w:sz="4" w:space="0" w:color="000000"/>
                  </w:tcBorders>
                </w:tcPr>
                <w:p w14:paraId="73E26622"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Adjacent Channel Selectivity</w:t>
                  </w:r>
                </w:p>
              </w:tc>
            </w:tr>
            <w:tr w:rsidR="004D6BC6" w14:paraId="389FDE4D" w14:textId="77777777">
              <w:trPr>
                <w:trHeight w:val="255"/>
              </w:trPr>
              <w:tc>
                <w:tcPr>
                  <w:tcW w:w="2944" w:type="dxa"/>
                  <w:tcBorders>
                    <w:top w:val="single" w:sz="4" w:space="0" w:color="000000"/>
                    <w:left w:val="single" w:sz="4" w:space="0" w:color="000000"/>
                    <w:bottom w:val="single" w:sz="4" w:space="0" w:color="000000"/>
                    <w:right w:val="single" w:sz="4" w:space="0" w:color="000000"/>
                  </w:tcBorders>
                </w:tcPr>
                <w:p w14:paraId="593B8B07"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7.6</w:t>
                  </w:r>
                </w:p>
              </w:tc>
              <w:tc>
                <w:tcPr>
                  <w:tcW w:w="5724" w:type="dxa"/>
                  <w:tcBorders>
                    <w:top w:val="single" w:sz="4" w:space="0" w:color="000000"/>
                    <w:left w:val="single" w:sz="4" w:space="0" w:color="000000"/>
                    <w:bottom w:val="single" w:sz="4" w:space="0" w:color="000000"/>
                    <w:right w:val="single" w:sz="4" w:space="0" w:color="000000"/>
                  </w:tcBorders>
                </w:tcPr>
                <w:p w14:paraId="5C515E6A"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Blocking characteristics</w:t>
                  </w:r>
                </w:p>
              </w:tc>
            </w:tr>
            <w:tr w:rsidR="004D6BC6" w14:paraId="63644463" w14:textId="77777777">
              <w:trPr>
                <w:trHeight w:val="255"/>
              </w:trPr>
              <w:tc>
                <w:tcPr>
                  <w:tcW w:w="2944" w:type="dxa"/>
                  <w:tcBorders>
                    <w:top w:val="single" w:sz="4" w:space="0" w:color="000000"/>
                    <w:left w:val="single" w:sz="4" w:space="0" w:color="000000"/>
                    <w:bottom w:val="single" w:sz="4" w:space="0" w:color="000000"/>
                    <w:right w:val="single" w:sz="4" w:space="0" w:color="000000"/>
                  </w:tcBorders>
                </w:tcPr>
                <w:p w14:paraId="682008FC"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7.7</w:t>
                  </w:r>
                </w:p>
              </w:tc>
              <w:tc>
                <w:tcPr>
                  <w:tcW w:w="5724" w:type="dxa"/>
                  <w:tcBorders>
                    <w:top w:val="single" w:sz="4" w:space="0" w:color="000000"/>
                    <w:left w:val="single" w:sz="4" w:space="0" w:color="000000"/>
                    <w:bottom w:val="single" w:sz="4" w:space="0" w:color="000000"/>
                    <w:right w:val="single" w:sz="4" w:space="0" w:color="000000"/>
                  </w:tcBorders>
                </w:tcPr>
                <w:p w14:paraId="3005A3A9"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Spurious response</w:t>
                  </w:r>
                </w:p>
              </w:tc>
            </w:tr>
            <w:tr w:rsidR="004D6BC6" w14:paraId="2934EA99" w14:textId="77777777">
              <w:trPr>
                <w:trHeight w:val="255"/>
              </w:trPr>
              <w:tc>
                <w:tcPr>
                  <w:tcW w:w="2944" w:type="dxa"/>
                  <w:tcBorders>
                    <w:top w:val="single" w:sz="4" w:space="0" w:color="000000"/>
                    <w:left w:val="single" w:sz="4" w:space="0" w:color="000000"/>
                    <w:bottom w:val="single" w:sz="4" w:space="0" w:color="000000"/>
                    <w:right w:val="single" w:sz="4" w:space="0" w:color="000000"/>
                  </w:tcBorders>
                </w:tcPr>
                <w:p w14:paraId="18A07A6F"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7.8</w:t>
                  </w:r>
                </w:p>
              </w:tc>
              <w:tc>
                <w:tcPr>
                  <w:tcW w:w="5724" w:type="dxa"/>
                  <w:tcBorders>
                    <w:top w:val="single" w:sz="4" w:space="0" w:color="000000"/>
                    <w:left w:val="single" w:sz="4" w:space="0" w:color="000000"/>
                    <w:bottom w:val="single" w:sz="4" w:space="0" w:color="000000"/>
                    <w:right w:val="single" w:sz="4" w:space="0" w:color="000000"/>
                  </w:tcBorders>
                </w:tcPr>
                <w:p w14:paraId="5F85C073"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Intermodulation characteristics</w:t>
                  </w:r>
                </w:p>
              </w:tc>
            </w:tr>
            <w:tr w:rsidR="004D6BC6" w14:paraId="7FCA9088" w14:textId="77777777">
              <w:trPr>
                <w:trHeight w:val="255"/>
              </w:trPr>
              <w:tc>
                <w:tcPr>
                  <w:tcW w:w="2944" w:type="dxa"/>
                  <w:tcBorders>
                    <w:top w:val="single" w:sz="4" w:space="0" w:color="000000"/>
                    <w:left w:val="single" w:sz="4" w:space="0" w:color="000000"/>
                    <w:bottom w:val="single" w:sz="4" w:space="0" w:color="000000"/>
                    <w:right w:val="single" w:sz="4" w:space="0" w:color="000000"/>
                  </w:tcBorders>
                </w:tcPr>
                <w:p w14:paraId="6E18BBDB"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7.9</w:t>
                  </w:r>
                </w:p>
              </w:tc>
              <w:tc>
                <w:tcPr>
                  <w:tcW w:w="5724" w:type="dxa"/>
                  <w:tcBorders>
                    <w:top w:val="single" w:sz="4" w:space="0" w:color="000000"/>
                    <w:left w:val="single" w:sz="4" w:space="0" w:color="000000"/>
                    <w:bottom w:val="single" w:sz="4" w:space="0" w:color="000000"/>
                    <w:right w:val="single" w:sz="4" w:space="0" w:color="000000"/>
                  </w:tcBorders>
                </w:tcPr>
                <w:p w14:paraId="45EBBD50"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Spurious emissions</w:t>
                  </w:r>
                </w:p>
              </w:tc>
            </w:tr>
          </w:tbl>
          <w:p w14:paraId="1917B5E2" w14:textId="77777777" w:rsidR="004D6BC6" w:rsidRDefault="004D6BC6">
            <w:pPr>
              <w:keepNext/>
              <w:ind w:left="568" w:hanging="568"/>
            </w:pPr>
          </w:p>
          <w:p w14:paraId="3DA957F9" w14:textId="77777777" w:rsidR="004D6BC6" w:rsidRDefault="00000000">
            <w:r>
              <w:t>The requirements and test cases listed in Table B.4.x-2 are specified in the REL-18 version of TS 38.101-1 [2].</w:t>
            </w:r>
          </w:p>
          <w:p w14:paraId="24A0C021" w14:textId="77777777" w:rsidR="004D6BC6" w:rsidRDefault="00000000">
            <w:pPr>
              <w:keepNext/>
              <w:keepLines/>
              <w:widowControl/>
              <w:pBdr>
                <w:top w:val="nil"/>
                <w:left w:val="nil"/>
                <w:bottom w:val="nil"/>
                <w:right w:val="nil"/>
                <w:between w:val="nil"/>
              </w:pBdr>
              <w:spacing w:before="60"/>
              <w:jc w:val="center"/>
              <w:rPr>
                <w:b/>
                <w:color w:val="000000"/>
                <w:sz w:val="20"/>
                <w:szCs w:val="20"/>
              </w:rPr>
            </w:pPr>
            <w:r>
              <w:rPr>
                <w:b/>
                <w:color w:val="000000"/>
                <w:sz w:val="20"/>
                <w:szCs w:val="20"/>
              </w:rPr>
              <w:t>Table B.4.x-2: Common UE RF requirements for 8Rx for CA in FR1</w:t>
            </w:r>
          </w:p>
          <w:tbl>
            <w:tblPr>
              <w:tblStyle w:val="aff4"/>
              <w:tblW w:w="865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77"/>
              <w:gridCol w:w="5781"/>
            </w:tblGrid>
            <w:tr w:rsidR="004D6BC6" w14:paraId="7186D817" w14:textId="77777777">
              <w:trPr>
                <w:trHeight w:val="255"/>
              </w:trPr>
              <w:tc>
                <w:tcPr>
                  <w:tcW w:w="2877" w:type="dxa"/>
                  <w:tcBorders>
                    <w:top w:val="single" w:sz="4" w:space="0" w:color="000000"/>
                    <w:left w:val="single" w:sz="4" w:space="0" w:color="000000"/>
                    <w:bottom w:val="single" w:sz="4" w:space="0" w:color="000000"/>
                    <w:right w:val="single" w:sz="4" w:space="0" w:color="000000"/>
                  </w:tcBorders>
                </w:tcPr>
                <w:p w14:paraId="45F76F34" w14:textId="77777777" w:rsidR="004D6BC6"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Clause</w:t>
                  </w:r>
                </w:p>
              </w:tc>
              <w:tc>
                <w:tcPr>
                  <w:tcW w:w="5781" w:type="dxa"/>
                  <w:tcBorders>
                    <w:top w:val="single" w:sz="4" w:space="0" w:color="000000"/>
                    <w:left w:val="single" w:sz="4" w:space="0" w:color="000000"/>
                    <w:bottom w:val="single" w:sz="4" w:space="0" w:color="000000"/>
                    <w:right w:val="single" w:sz="4" w:space="0" w:color="000000"/>
                  </w:tcBorders>
                </w:tcPr>
                <w:p w14:paraId="40720717" w14:textId="77777777" w:rsidR="004D6BC6"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Description</w:t>
                  </w:r>
                </w:p>
              </w:tc>
            </w:tr>
            <w:tr w:rsidR="004D6BC6" w14:paraId="43BE01C0" w14:textId="77777777">
              <w:trPr>
                <w:trHeight w:val="255"/>
              </w:trPr>
              <w:tc>
                <w:tcPr>
                  <w:tcW w:w="2877" w:type="dxa"/>
                  <w:tcBorders>
                    <w:top w:val="single" w:sz="4" w:space="0" w:color="000000"/>
                    <w:left w:val="single" w:sz="4" w:space="0" w:color="000000"/>
                    <w:bottom w:val="single" w:sz="4" w:space="0" w:color="000000"/>
                    <w:right w:val="single" w:sz="4" w:space="0" w:color="000000"/>
                  </w:tcBorders>
                </w:tcPr>
                <w:p w14:paraId="5D1CE948"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7.3A</w:t>
                  </w:r>
                </w:p>
              </w:tc>
              <w:tc>
                <w:tcPr>
                  <w:tcW w:w="5781" w:type="dxa"/>
                  <w:tcBorders>
                    <w:top w:val="single" w:sz="4" w:space="0" w:color="000000"/>
                    <w:left w:val="single" w:sz="4" w:space="0" w:color="000000"/>
                    <w:bottom w:val="single" w:sz="4" w:space="0" w:color="000000"/>
                    <w:right w:val="single" w:sz="4" w:space="0" w:color="000000"/>
                  </w:tcBorders>
                </w:tcPr>
                <w:p w14:paraId="392E63F8"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Reference sensitivity for CA</w:t>
                  </w:r>
                </w:p>
              </w:tc>
            </w:tr>
            <w:tr w:rsidR="004D6BC6" w14:paraId="480B5CB8" w14:textId="77777777">
              <w:trPr>
                <w:trHeight w:val="255"/>
              </w:trPr>
              <w:tc>
                <w:tcPr>
                  <w:tcW w:w="2877" w:type="dxa"/>
                  <w:tcBorders>
                    <w:top w:val="single" w:sz="4" w:space="0" w:color="000000"/>
                    <w:left w:val="single" w:sz="4" w:space="0" w:color="000000"/>
                    <w:bottom w:val="single" w:sz="4" w:space="0" w:color="000000"/>
                    <w:right w:val="single" w:sz="4" w:space="0" w:color="000000"/>
                  </w:tcBorders>
                </w:tcPr>
                <w:p w14:paraId="6B5608BA"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7.4A</w:t>
                  </w:r>
                </w:p>
              </w:tc>
              <w:tc>
                <w:tcPr>
                  <w:tcW w:w="5781" w:type="dxa"/>
                  <w:tcBorders>
                    <w:top w:val="single" w:sz="4" w:space="0" w:color="000000"/>
                    <w:left w:val="single" w:sz="4" w:space="0" w:color="000000"/>
                    <w:bottom w:val="single" w:sz="4" w:space="0" w:color="000000"/>
                    <w:right w:val="single" w:sz="4" w:space="0" w:color="000000"/>
                  </w:tcBorders>
                </w:tcPr>
                <w:p w14:paraId="5E99A993"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Maximum input level for CA</w:t>
                  </w:r>
                </w:p>
              </w:tc>
            </w:tr>
            <w:tr w:rsidR="004D6BC6" w14:paraId="37CE07B7" w14:textId="77777777">
              <w:trPr>
                <w:trHeight w:val="255"/>
              </w:trPr>
              <w:tc>
                <w:tcPr>
                  <w:tcW w:w="2877" w:type="dxa"/>
                  <w:tcBorders>
                    <w:top w:val="single" w:sz="4" w:space="0" w:color="000000"/>
                    <w:left w:val="single" w:sz="4" w:space="0" w:color="000000"/>
                    <w:bottom w:val="single" w:sz="4" w:space="0" w:color="000000"/>
                    <w:right w:val="single" w:sz="4" w:space="0" w:color="000000"/>
                  </w:tcBorders>
                </w:tcPr>
                <w:p w14:paraId="76F0E365"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7.5A</w:t>
                  </w:r>
                </w:p>
              </w:tc>
              <w:tc>
                <w:tcPr>
                  <w:tcW w:w="5781" w:type="dxa"/>
                  <w:tcBorders>
                    <w:top w:val="single" w:sz="4" w:space="0" w:color="000000"/>
                    <w:left w:val="single" w:sz="4" w:space="0" w:color="000000"/>
                    <w:bottom w:val="single" w:sz="4" w:space="0" w:color="000000"/>
                    <w:right w:val="single" w:sz="4" w:space="0" w:color="000000"/>
                  </w:tcBorders>
                </w:tcPr>
                <w:p w14:paraId="125090C1"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Adjacent Channel Selectivity for CA</w:t>
                  </w:r>
                </w:p>
              </w:tc>
            </w:tr>
            <w:tr w:rsidR="004D6BC6" w14:paraId="03D2C2EB" w14:textId="77777777">
              <w:trPr>
                <w:trHeight w:val="255"/>
              </w:trPr>
              <w:tc>
                <w:tcPr>
                  <w:tcW w:w="2877" w:type="dxa"/>
                  <w:tcBorders>
                    <w:top w:val="single" w:sz="4" w:space="0" w:color="000000"/>
                    <w:left w:val="single" w:sz="4" w:space="0" w:color="000000"/>
                    <w:bottom w:val="single" w:sz="4" w:space="0" w:color="000000"/>
                    <w:right w:val="single" w:sz="4" w:space="0" w:color="000000"/>
                  </w:tcBorders>
                </w:tcPr>
                <w:p w14:paraId="760ADBE2"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7.6A</w:t>
                  </w:r>
                </w:p>
              </w:tc>
              <w:tc>
                <w:tcPr>
                  <w:tcW w:w="5781" w:type="dxa"/>
                  <w:tcBorders>
                    <w:top w:val="single" w:sz="4" w:space="0" w:color="000000"/>
                    <w:left w:val="single" w:sz="4" w:space="0" w:color="000000"/>
                    <w:bottom w:val="single" w:sz="4" w:space="0" w:color="000000"/>
                    <w:right w:val="single" w:sz="4" w:space="0" w:color="000000"/>
                  </w:tcBorders>
                </w:tcPr>
                <w:p w14:paraId="19A2563B"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Blocking characteristics for CA</w:t>
                  </w:r>
                </w:p>
              </w:tc>
            </w:tr>
            <w:tr w:rsidR="004D6BC6" w14:paraId="12731FEF" w14:textId="77777777">
              <w:trPr>
                <w:trHeight w:val="255"/>
              </w:trPr>
              <w:tc>
                <w:tcPr>
                  <w:tcW w:w="2877" w:type="dxa"/>
                  <w:tcBorders>
                    <w:top w:val="single" w:sz="4" w:space="0" w:color="000000"/>
                    <w:left w:val="single" w:sz="4" w:space="0" w:color="000000"/>
                    <w:bottom w:val="single" w:sz="4" w:space="0" w:color="000000"/>
                    <w:right w:val="single" w:sz="4" w:space="0" w:color="000000"/>
                  </w:tcBorders>
                </w:tcPr>
                <w:p w14:paraId="478C6EAA"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7.7A</w:t>
                  </w:r>
                </w:p>
              </w:tc>
              <w:tc>
                <w:tcPr>
                  <w:tcW w:w="5781" w:type="dxa"/>
                  <w:tcBorders>
                    <w:top w:val="single" w:sz="4" w:space="0" w:color="000000"/>
                    <w:left w:val="single" w:sz="4" w:space="0" w:color="000000"/>
                    <w:bottom w:val="single" w:sz="4" w:space="0" w:color="000000"/>
                    <w:right w:val="single" w:sz="4" w:space="0" w:color="000000"/>
                  </w:tcBorders>
                </w:tcPr>
                <w:p w14:paraId="717E398F" w14:textId="77777777" w:rsidR="004D6BC6" w:rsidRDefault="00000000">
                  <w:pPr>
                    <w:keepNext/>
                    <w:keepLines/>
                    <w:widowControl/>
                    <w:pBdr>
                      <w:top w:val="nil"/>
                      <w:left w:val="nil"/>
                      <w:bottom w:val="nil"/>
                      <w:right w:val="nil"/>
                      <w:between w:val="nil"/>
                    </w:pBdr>
                    <w:spacing w:after="0"/>
                    <w:jc w:val="left"/>
                    <w:rPr>
                      <w:b/>
                      <w:color w:val="000000"/>
                      <w:sz w:val="18"/>
                      <w:szCs w:val="18"/>
                    </w:rPr>
                  </w:pPr>
                  <w:r>
                    <w:rPr>
                      <w:color w:val="000000"/>
                      <w:sz w:val="18"/>
                      <w:szCs w:val="18"/>
                    </w:rPr>
                    <w:t>Spurious response for CA</w:t>
                  </w:r>
                </w:p>
              </w:tc>
            </w:tr>
            <w:tr w:rsidR="004D6BC6" w14:paraId="6536EAA4" w14:textId="77777777">
              <w:trPr>
                <w:trHeight w:val="255"/>
              </w:trPr>
              <w:tc>
                <w:tcPr>
                  <w:tcW w:w="2877" w:type="dxa"/>
                  <w:tcBorders>
                    <w:top w:val="single" w:sz="4" w:space="0" w:color="000000"/>
                    <w:left w:val="single" w:sz="4" w:space="0" w:color="000000"/>
                    <w:bottom w:val="single" w:sz="4" w:space="0" w:color="000000"/>
                    <w:right w:val="single" w:sz="4" w:space="0" w:color="000000"/>
                  </w:tcBorders>
                </w:tcPr>
                <w:p w14:paraId="659CC666"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7.8A</w:t>
                  </w:r>
                </w:p>
              </w:tc>
              <w:tc>
                <w:tcPr>
                  <w:tcW w:w="5781" w:type="dxa"/>
                  <w:tcBorders>
                    <w:top w:val="single" w:sz="4" w:space="0" w:color="000000"/>
                    <w:left w:val="single" w:sz="4" w:space="0" w:color="000000"/>
                    <w:bottom w:val="single" w:sz="4" w:space="0" w:color="000000"/>
                    <w:right w:val="single" w:sz="4" w:space="0" w:color="000000"/>
                  </w:tcBorders>
                </w:tcPr>
                <w:p w14:paraId="4A742832"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Intermodulation characteristics for CA</w:t>
                  </w:r>
                </w:p>
              </w:tc>
            </w:tr>
            <w:tr w:rsidR="004D6BC6" w14:paraId="3067E06A" w14:textId="77777777">
              <w:trPr>
                <w:trHeight w:val="255"/>
              </w:trPr>
              <w:tc>
                <w:tcPr>
                  <w:tcW w:w="2877" w:type="dxa"/>
                  <w:tcBorders>
                    <w:top w:val="single" w:sz="4" w:space="0" w:color="000000"/>
                    <w:left w:val="single" w:sz="4" w:space="0" w:color="000000"/>
                    <w:bottom w:val="single" w:sz="4" w:space="0" w:color="000000"/>
                    <w:right w:val="single" w:sz="4" w:space="0" w:color="000000"/>
                  </w:tcBorders>
                </w:tcPr>
                <w:p w14:paraId="06D485AD"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7.9A</w:t>
                  </w:r>
                </w:p>
              </w:tc>
              <w:tc>
                <w:tcPr>
                  <w:tcW w:w="5781" w:type="dxa"/>
                  <w:tcBorders>
                    <w:top w:val="single" w:sz="4" w:space="0" w:color="000000"/>
                    <w:left w:val="single" w:sz="4" w:space="0" w:color="000000"/>
                    <w:bottom w:val="single" w:sz="4" w:space="0" w:color="000000"/>
                    <w:right w:val="single" w:sz="4" w:space="0" w:color="000000"/>
                  </w:tcBorders>
                </w:tcPr>
                <w:p w14:paraId="2218E723" w14:textId="77777777" w:rsidR="004D6BC6"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Spurious emissions for CA</w:t>
                  </w:r>
                </w:p>
              </w:tc>
            </w:tr>
          </w:tbl>
          <w:p w14:paraId="1C190CEA" w14:textId="77777777" w:rsidR="004D6BC6" w:rsidRDefault="004D6BC6">
            <w:pPr>
              <w:widowControl/>
              <w:pBdr>
                <w:top w:val="nil"/>
                <w:left w:val="nil"/>
                <w:bottom w:val="nil"/>
                <w:right w:val="nil"/>
                <w:between w:val="nil"/>
              </w:pBdr>
              <w:ind w:left="851" w:hanging="284"/>
              <w:jc w:val="left"/>
              <w:rPr>
                <w:color w:val="000000"/>
                <w:sz w:val="20"/>
                <w:szCs w:val="20"/>
              </w:rPr>
            </w:pPr>
          </w:p>
        </w:tc>
      </w:tr>
    </w:tbl>
    <w:p w14:paraId="16374E47" w14:textId="77777777" w:rsidR="004D6BC6" w:rsidRDefault="004D6BC6"/>
    <w:p w14:paraId="62C2C791" w14:textId="77777777" w:rsidR="004D6BC6" w:rsidRDefault="00000000">
      <w:r>
        <w:t xml:space="preserve">Based on the above analysis, we propose as follow </w:t>
      </w:r>
    </w:p>
    <w:p w14:paraId="656EF458" w14:textId="2C8FDBE3" w:rsidR="004D6BC6" w:rsidRDefault="00000000">
      <w:pPr>
        <w:rPr>
          <w:b/>
        </w:rPr>
      </w:pPr>
      <w:r>
        <w:rPr>
          <w:b/>
        </w:rPr>
        <w:t xml:space="preserve">Proposal </w:t>
      </w:r>
      <w:r w:rsidR="009F74CB">
        <w:rPr>
          <w:b/>
        </w:rPr>
        <w:t>4</w:t>
      </w:r>
      <w:r>
        <w:rPr>
          <w:b/>
        </w:rPr>
        <w:t>: RAN4 will specify detailed Rx core requirements for 6Rx HHUE and 6Rx feature can be supported as release independent manner from Release 17.</w:t>
      </w:r>
    </w:p>
    <w:p w14:paraId="6CA0B8AC" w14:textId="77777777" w:rsidR="004D6BC6" w:rsidRDefault="00000000">
      <w:r>
        <w:t xml:space="preserve">   </w:t>
      </w:r>
    </w:p>
    <w:p w14:paraId="6CD97D1E" w14:textId="77777777" w:rsidR="004D6BC6" w:rsidRDefault="00000000">
      <w:pPr>
        <w:pStyle w:val="1"/>
        <w:numPr>
          <w:ilvl w:val="0"/>
          <w:numId w:val="4"/>
        </w:numPr>
        <w:spacing w:before="240"/>
        <w:ind w:left="270" w:hanging="270"/>
      </w:pPr>
      <w:r>
        <w:t>Conclusions</w:t>
      </w:r>
    </w:p>
    <w:p w14:paraId="6EA1D19F" w14:textId="77777777" w:rsidR="004D6BC6" w:rsidRDefault="00000000">
      <w:r>
        <w:t xml:space="preserve">In this contribution, we propose some RF architectures and SAR solutions for intra-band contiguous CA or non-contiguous CA. Also, we share our preference on how to support the increased CA/DC UE power limitation with different PA capability between two Bands. Based on our initial analysis for the high power intra-band CA or inter-band CA/DC combination with 2Tx/3Tx, we proposed as follow </w:t>
      </w:r>
    </w:p>
    <w:p w14:paraId="50F3A5FD" w14:textId="77777777" w:rsidR="004D6BC6" w:rsidRDefault="004D6BC6">
      <w:pPr>
        <w:rPr>
          <w:b/>
        </w:rPr>
      </w:pPr>
    </w:p>
    <w:p w14:paraId="2E33C409" w14:textId="77777777" w:rsidR="004D6BC6" w:rsidRDefault="00000000">
      <w:pPr>
        <w:widowControl/>
        <w:spacing w:after="180"/>
        <w:ind w:right="150"/>
        <w:jc w:val="left"/>
        <w:rPr>
          <w:b/>
        </w:rPr>
      </w:pPr>
      <w:r>
        <w:rPr>
          <w:b/>
        </w:rPr>
        <w:t xml:space="preserve">Proposal 1: </w:t>
      </w:r>
      <w:r>
        <w:rPr>
          <w:b/>
          <w:i/>
        </w:rPr>
        <w:t>Based on the 2Rx REFSENS requirements, the 6Rx REFSENS levels will be specified with ΔR</w:t>
      </w:r>
      <w:r>
        <w:rPr>
          <w:b/>
          <w:i/>
          <w:vertAlign w:val="subscript"/>
        </w:rPr>
        <w:t xml:space="preserve">IB,6R </w:t>
      </w:r>
      <w:r>
        <w:rPr>
          <w:b/>
          <w:i/>
        </w:rPr>
        <w:t xml:space="preserve"> as follow</w:t>
      </w:r>
    </w:p>
    <w:p w14:paraId="12F4610B" w14:textId="77777777" w:rsidR="004D6BC6" w:rsidRPr="009F74CB" w:rsidRDefault="00000000">
      <w:pPr>
        <w:widowControl/>
        <w:numPr>
          <w:ilvl w:val="3"/>
          <w:numId w:val="3"/>
        </w:numPr>
        <w:pBdr>
          <w:top w:val="nil"/>
          <w:left w:val="nil"/>
          <w:bottom w:val="nil"/>
          <w:right w:val="nil"/>
          <w:between w:val="nil"/>
        </w:pBdr>
        <w:spacing w:after="180"/>
        <w:ind w:right="150"/>
        <w:jc w:val="left"/>
        <w:rPr>
          <w:color w:val="000000"/>
          <w:lang w:val="pt-BR"/>
        </w:rPr>
      </w:pPr>
      <w:r>
        <w:rPr>
          <w:color w:val="000000"/>
        </w:rPr>
        <w:t>Δ</w:t>
      </w:r>
      <w:r w:rsidRPr="009F74CB">
        <w:rPr>
          <w:color w:val="000000"/>
          <w:lang w:val="pt-BR"/>
        </w:rPr>
        <w:t>R</w:t>
      </w:r>
      <w:r w:rsidRPr="009F74CB">
        <w:rPr>
          <w:color w:val="000000"/>
          <w:vertAlign w:val="subscript"/>
          <w:lang w:val="pt-BR"/>
        </w:rPr>
        <w:t xml:space="preserve">IB,6R </w:t>
      </w:r>
      <w:r w:rsidRPr="009F74CB">
        <w:rPr>
          <w:color w:val="000000"/>
          <w:lang w:val="pt-BR"/>
        </w:rPr>
        <w:t>is [- 3.0] dB for</w:t>
      </w:r>
      <w:r w:rsidRPr="009F74CB">
        <w:rPr>
          <w:b/>
          <w:color w:val="000000"/>
          <w:lang w:val="pt-BR"/>
        </w:rPr>
        <w:t xml:space="preserve"> </w:t>
      </w:r>
      <w:r w:rsidRPr="009F74CB">
        <w:rPr>
          <w:color w:val="000000"/>
          <w:lang w:val="pt-BR"/>
        </w:rPr>
        <w:t>n77, n78, n79 and n104</w:t>
      </w:r>
    </w:p>
    <w:p w14:paraId="443B9952" w14:textId="77777777" w:rsidR="004D6BC6" w:rsidRPr="009F74CB" w:rsidRDefault="00000000">
      <w:pPr>
        <w:widowControl/>
        <w:numPr>
          <w:ilvl w:val="3"/>
          <w:numId w:val="3"/>
        </w:numPr>
        <w:pBdr>
          <w:top w:val="nil"/>
          <w:left w:val="nil"/>
          <w:bottom w:val="nil"/>
          <w:right w:val="nil"/>
          <w:between w:val="nil"/>
        </w:pBdr>
        <w:spacing w:after="180"/>
        <w:ind w:right="150"/>
        <w:jc w:val="left"/>
        <w:rPr>
          <w:color w:val="000000"/>
          <w:lang w:val="pt-BR"/>
        </w:rPr>
      </w:pPr>
      <w:r>
        <w:rPr>
          <w:color w:val="000000"/>
        </w:rPr>
        <w:t>Δ</w:t>
      </w:r>
      <w:r w:rsidRPr="009F74CB">
        <w:rPr>
          <w:color w:val="000000"/>
          <w:lang w:val="pt-BR"/>
        </w:rPr>
        <w:t>R</w:t>
      </w:r>
      <w:r w:rsidRPr="009F74CB">
        <w:rPr>
          <w:color w:val="000000"/>
          <w:vertAlign w:val="subscript"/>
          <w:lang w:val="pt-BR"/>
        </w:rPr>
        <w:t xml:space="preserve">IB,6R </w:t>
      </w:r>
      <w:r w:rsidRPr="009F74CB">
        <w:rPr>
          <w:color w:val="000000"/>
          <w:lang w:val="pt-BR"/>
        </w:rPr>
        <w:t>is [- 3.3] dB for n41</w:t>
      </w:r>
    </w:p>
    <w:p w14:paraId="25F35D1F" w14:textId="77777777" w:rsidR="009F74CB" w:rsidRPr="009F74CB" w:rsidRDefault="009F74CB" w:rsidP="009F74CB">
      <w:pPr>
        <w:widowControl/>
        <w:spacing w:after="180"/>
        <w:ind w:right="150"/>
        <w:jc w:val="left"/>
        <w:rPr>
          <w:b/>
        </w:rPr>
      </w:pPr>
      <w:r w:rsidRPr="009F74CB">
        <w:rPr>
          <w:b/>
        </w:rPr>
        <w:t xml:space="preserve">Proposal 2: </w:t>
      </w:r>
      <w:r w:rsidRPr="009F74CB">
        <w:rPr>
          <w:b/>
          <w:i/>
        </w:rPr>
        <w:t>If RAN4 agree to specify the REFSENS based on REFSEN equation, then we are also fine to make consensus with the diversity gain of 6Rx and other parameters such as IM level.</w:t>
      </w:r>
    </w:p>
    <w:p w14:paraId="3D75ACB7" w14:textId="6E3D56F0" w:rsidR="004D6BC6" w:rsidRDefault="00000000">
      <w:pPr>
        <w:rPr>
          <w:b/>
          <w:i/>
        </w:rPr>
      </w:pPr>
      <w:r>
        <w:rPr>
          <w:b/>
        </w:rPr>
        <w:t xml:space="preserve">Proposal </w:t>
      </w:r>
      <w:r w:rsidR="009F74CB">
        <w:rPr>
          <w:b/>
        </w:rPr>
        <w:t>3</w:t>
      </w:r>
      <w:r>
        <w:rPr>
          <w:b/>
        </w:rPr>
        <w:t xml:space="preserve">: </w:t>
      </w:r>
      <w:r>
        <w:rPr>
          <w:b/>
          <w:i/>
        </w:rPr>
        <w:t>RAN4 can define the detailed ΔTRxSRS values according to the possible SRS antenna configuration.</w:t>
      </w:r>
    </w:p>
    <w:p w14:paraId="666FBEB9" w14:textId="3C92E490" w:rsidR="004D6BC6" w:rsidRDefault="00000000">
      <w:pPr>
        <w:rPr>
          <w:b/>
        </w:rPr>
      </w:pPr>
      <w:r>
        <w:rPr>
          <w:b/>
        </w:rPr>
        <w:t xml:space="preserve">Proposal </w:t>
      </w:r>
      <w:r w:rsidR="009F74CB">
        <w:rPr>
          <w:b/>
        </w:rPr>
        <w:t>4</w:t>
      </w:r>
      <w:r>
        <w:rPr>
          <w:b/>
        </w:rPr>
        <w:t xml:space="preserve">: </w:t>
      </w:r>
      <w:r>
        <w:rPr>
          <w:b/>
          <w:i/>
        </w:rPr>
        <w:t>RAN4 will specify detailed Rx core requirements for 6Rx HHUE and 6Rx feature can be supported as release independent manner from Release 17.</w:t>
      </w:r>
    </w:p>
    <w:p w14:paraId="67F49BAB" w14:textId="77777777" w:rsidR="004D6BC6" w:rsidRDefault="004D6BC6">
      <w:pPr>
        <w:rPr>
          <w:b/>
        </w:rPr>
      </w:pPr>
    </w:p>
    <w:p w14:paraId="2E04CE82" w14:textId="77777777" w:rsidR="004D6BC6" w:rsidRDefault="00000000">
      <w:pPr>
        <w:pStyle w:val="1"/>
        <w:spacing w:before="240"/>
      </w:pPr>
      <w:r>
        <w:t>Reference</w:t>
      </w:r>
    </w:p>
    <w:p w14:paraId="09730D79" w14:textId="77777777" w:rsidR="004D6BC6" w:rsidRDefault="00000000">
      <w:pPr>
        <w:widowControl/>
        <w:rPr>
          <w:sz w:val="20"/>
          <w:szCs w:val="20"/>
        </w:rPr>
      </w:pPr>
      <w:r>
        <w:rPr>
          <w:sz w:val="20"/>
          <w:szCs w:val="20"/>
        </w:rPr>
        <w:t xml:space="preserve">[1] RP-240828, “New WID on UE RF enhancements for NR FR1/FR2 and EN-DC, Phase 4,” Huawei </w:t>
      </w:r>
    </w:p>
    <w:p w14:paraId="1DD88FEF" w14:textId="77777777" w:rsidR="004D6BC6" w:rsidRDefault="00000000">
      <w:pPr>
        <w:widowControl/>
        <w:rPr>
          <w:sz w:val="20"/>
          <w:szCs w:val="20"/>
        </w:rPr>
      </w:pPr>
      <w:r>
        <w:rPr>
          <w:sz w:val="20"/>
          <w:szCs w:val="20"/>
        </w:rPr>
        <w:t>[2] TS38.101-1</w:t>
      </w:r>
    </w:p>
    <w:p w14:paraId="1816876A" w14:textId="77777777" w:rsidR="004D6BC6" w:rsidRDefault="00000000">
      <w:pPr>
        <w:widowControl/>
        <w:rPr>
          <w:sz w:val="20"/>
          <w:szCs w:val="20"/>
        </w:rPr>
      </w:pPr>
      <w:r>
        <w:rPr>
          <w:sz w:val="20"/>
          <w:szCs w:val="20"/>
        </w:rPr>
        <w:lastRenderedPageBreak/>
        <w:t>[3] TS38.307</w:t>
      </w:r>
    </w:p>
    <w:p w14:paraId="33559AD7" w14:textId="77777777" w:rsidR="004D6BC6" w:rsidRDefault="004D6BC6">
      <w:pPr>
        <w:widowControl/>
        <w:rPr>
          <w:sz w:val="20"/>
          <w:szCs w:val="20"/>
        </w:rPr>
      </w:pPr>
    </w:p>
    <w:sectPr w:rsidR="004D6BC6">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 w15:restartNumberingAfterBreak="0">
    <w:nsid w:val="43CD5701"/>
    <w:multiLevelType w:val="multilevel"/>
    <w:tmpl w:val="FDDC95B2"/>
    <w:lvl w:ilvl="0">
      <w:start w:val="2"/>
      <w:numFmt w:val="decimal"/>
      <w:lvlText w:val="%1."/>
      <w:lvlJc w:val="left"/>
      <w:pPr>
        <w:ind w:left="417" w:hanging="420"/>
      </w:pPr>
    </w:lvl>
    <w:lvl w:ilvl="1">
      <w:start w:val="1"/>
      <w:numFmt w:val="decimal"/>
      <w:lvlText w:val="%1.%2"/>
      <w:lvlJc w:val="left"/>
      <w:pPr>
        <w:ind w:left="1275"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2" w15:restartNumberingAfterBreak="0">
    <w:nsid w:val="55850FEE"/>
    <w:multiLevelType w:val="multilevel"/>
    <w:tmpl w:val="84461B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D4301B"/>
    <w:multiLevelType w:val="multilevel"/>
    <w:tmpl w:val="58C292DC"/>
    <w:lvl w:ilvl="0">
      <w:start w:val="1"/>
      <w:numFmt w:val="decimal"/>
      <w:pStyle w:val="References"/>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num w:numId="1" w16cid:durableId="286930115">
    <w:abstractNumId w:val="3"/>
  </w:num>
  <w:num w:numId="2" w16cid:durableId="1829401281">
    <w:abstractNumId w:val="2"/>
  </w:num>
  <w:num w:numId="3" w16cid:durableId="1265958927">
    <w:abstractNumId w:val="0"/>
  </w:num>
  <w:num w:numId="4" w16cid:durableId="1568030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BC6"/>
    <w:rsid w:val="004D6BC6"/>
    <w:rsid w:val="009F74CB"/>
    <w:rsid w:val="00A5216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08FF9"/>
  <w15:docId w15:val="{52A77DD9-45EE-402F-94F4-77C52CB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link w:val="B2Char"/>
    <w:qFormat/>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7">
    <w:name w:val="17"/>
    <w:basedOn w:val="TableNormal1"/>
    <w:pPr>
      <w:spacing w:after="180"/>
    </w:pPr>
    <w:tblPr>
      <w:tblStyleRowBandSize w:val="1"/>
      <w:tblStyleColBandSize w:val="1"/>
      <w:tblCellMar>
        <w:left w:w="108" w:type="dxa"/>
        <w:right w:w="108" w:type="dxa"/>
      </w:tblCellMar>
    </w:tblPr>
  </w:style>
  <w:style w:type="table" w:customStyle="1" w:styleId="16">
    <w:name w:val="16"/>
    <w:basedOn w:val="TableNormal1"/>
    <w:tblPr>
      <w:tblStyleRowBandSize w:val="1"/>
      <w:tblStyleColBandSize w:val="1"/>
      <w:tblCellMar>
        <w:left w:w="115" w:type="dxa"/>
        <w:right w:w="115" w:type="dxa"/>
      </w:tblCellMar>
    </w:tblPr>
  </w:style>
  <w:style w:type="table" w:customStyle="1" w:styleId="15">
    <w:name w:val="15"/>
    <w:basedOn w:val="TableNormal1"/>
    <w:pPr>
      <w:spacing w:after="180"/>
    </w:pPr>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1"/>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61">
    <w:name w:val="6"/>
    <w:basedOn w:val="TableNormal2"/>
    <w:pPr>
      <w:spacing w:after="180"/>
    </w:pPr>
    <w:tblPr>
      <w:tblStyleRowBandSize w:val="1"/>
      <w:tblStyleColBandSize w:val="1"/>
      <w:tblCellMar>
        <w:left w:w="115" w:type="dxa"/>
        <w:right w:w="115" w:type="dxa"/>
      </w:tblCellMar>
    </w:tblPr>
  </w:style>
  <w:style w:type="table" w:customStyle="1" w:styleId="71">
    <w:name w:val="7"/>
    <w:basedOn w:val="a1"/>
    <w:rsid w:val="001B61FD"/>
    <w:pPr>
      <w:spacing w:after="180"/>
    </w:pPr>
    <w:tblPr>
      <w:tblStyleRowBandSize w:val="1"/>
      <w:tblStyleColBandSize w:val="1"/>
      <w:tblInd w:w="0" w:type="nil"/>
      <w:tblCellMar>
        <w:left w:w="115" w:type="dxa"/>
        <w:right w:w="115" w:type="dxa"/>
      </w:tblCellMar>
    </w:tblPr>
  </w:style>
  <w:style w:type="character" w:customStyle="1" w:styleId="B2Char">
    <w:name w:val="B2 Char"/>
    <w:link w:val="B2"/>
    <w:qFormat/>
    <w:locked/>
    <w:rsid w:val="0066361E"/>
    <w:rPr>
      <w:sz w:val="20"/>
      <w:szCs w:val="20"/>
      <w:lang w:eastAsia="ja-JP"/>
    </w:rPr>
  </w:style>
  <w:style w:type="table" w:customStyle="1" w:styleId="afe">
    <w:basedOn w:val="TableNormal0"/>
    <w:pPr>
      <w:spacing w:after="180"/>
    </w:pPr>
    <w:tblPr>
      <w:tblStyleRowBandSize w:val="1"/>
      <w:tblStyleColBandSize w:val="1"/>
      <w:tblCellMar>
        <w:left w:w="115" w:type="dxa"/>
        <w:right w:w="115" w:type="dxa"/>
      </w:tblCellMar>
    </w:tblPr>
  </w:style>
  <w:style w:type="table" w:customStyle="1" w:styleId="aff">
    <w:basedOn w:val="TableNormal0"/>
    <w:pPr>
      <w:spacing w:after="180"/>
    </w:pPr>
    <w:tblPr>
      <w:tblStyleRowBandSize w:val="1"/>
      <w:tblStyleColBandSize w:val="1"/>
      <w:tblCellMar>
        <w:left w:w="115" w:type="dxa"/>
        <w:right w:w="115"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pPr>
      <w:spacing w:after="180"/>
    </w:pPr>
    <w:tblPr>
      <w:tblStyleRowBandSize w:val="1"/>
      <w:tblStyleColBandSize w:val="1"/>
      <w:tblCellMar>
        <w:left w:w="115" w:type="dxa"/>
        <w:right w:w="115" w:type="dxa"/>
      </w:tblCellMar>
    </w:tblPr>
  </w:style>
  <w:style w:type="table" w:customStyle="1" w:styleId="aff2">
    <w:basedOn w:val="TableNormal0"/>
    <w:pPr>
      <w:spacing w:after="180"/>
    </w:pPr>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Ud2K/0IBxF2nu51d6nzoWb2gsg==">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yCGguZ2pkZ3hzMgloLjFmb2I5dGU4AHIhMUdlaDR4OGlMOFd1T0JZUmQyaUlHQ3Y1anBNYlZpcWt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1472</Words>
  <Characters>8394</Characters>
  <Application>Microsoft Office Word</Application>
  <DocSecurity>0</DocSecurity>
  <Lines>69</Lines>
  <Paragraphs>19</Paragraphs>
  <ScaleCrop>false</ScaleCrop>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3</cp:revision>
  <dcterms:created xsi:type="dcterms:W3CDTF">2024-04-08T05:45:00Z</dcterms:created>
  <dcterms:modified xsi:type="dcterms:W3CDTF">2024-04-08T05:54:00Z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